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nil"/>
          <w:left w:val="nil"/>
          <w:bottom w:val="nil"/>
          <w:right w:val="nil"/>
        </w:tblBorders>
        <w:tblLayout w:type="fixed"/>
        <w:tblLook w:val="0000" w:firstRow="0" w:lastRow="0" w:firstColumn="0" w:lastColumn="0" w:noHBand="0" w:noVBand="0"/>
      </w:tblPr>
      <w:tblGrid>
        <w:gridCol w:w="4520"/>
        <w:gridCol w:w="4662"/>
      </w:tblGrid>
      <w:tr w:rsidR="008D3FD4" w:rsidRPr="00F757E8" w:rsidTr="00DD71E8">
        <w:trPr>
          <w:trHeight w:val="609"/>
        </w:trPr>
        <w:tc>
          <w:tcPr>
            <w:tcW w:w="4520" w:type="dxa"/>
          </w:tcPr>
          <w:p w:rsidR="008D3FD4" w:rsidRPr="00B70EE6" w:rsidRDefault="008D3FD4" w:rsidP="00DD71E8">
            <w:pPr>
              <w:pStyle w:val="Default"/>
              <w:rPr>
                <w:sz w:val="22"/>
                <w:szCs w:val="22"/>
                <w:lang w:val="en-GB"/>
              </w:rPr>
            </w:pPr>
            <w:r w:rsidRPr="00B70EE6">
              <w:rPr>
                <w:sz w:val="22"/>
                <w:szCs w:val="22"/>
                <w:lang w:val="en-GB"/>
              </w:rPr>
              <w:t xml:space="preserve">SUB-COMMITTEE ON NAVIGATION, COMMUNICATIONS AND SEARCH AND RESCUE </w:t>
            </w:r>
          </w:p>
          <w:p w:rsidR="008D3FD4" w:rsidRDefault="008D3FD4" w:rsidP="00DD71E8">
            <w:pPr>
              <w:pStyle w:val="Default"/>
              <w:rPr>
                <w:sz w:val="22"/>
                <w:szCs w:val="22"/>
              </w:rPr>
            </w:pPr>
            <w:r>
              <w:rPr>
                <w:sz w:val="22"/>
                <w:szCs w:val="22"/>
              </w:rPr>
              <w:t xml:space="preserve">3rd session </w:t>
            </w:r>
          </w:p>
          <w:p w:rsidR="008D3FD4" w:rsidRDefault="008D3FD4" w:rsidP="00DD71E8">
            <w:pPr>
              <w:pStyle w:val="Default"/>
              <w:rPr>
                <w:sz w:val="22"/>
                <w:szCs w:val="22"/>
              </w:rPr>
            </w:pPr>
            <w:r>
              <w:rPr>
                <w:sz w:val="22"/>
                <w:szCs w:val="22"/>
              </w:rPr>
              <w:t xml:space="preserve">Agenda item </w:t>
            </w:r>
            <w:r w:rsidRPr="00B70EE6">
              <w:rPr>
                <w:sz w:val="22"/>
                <w:szCs w:val="22"/>
                <w:highlight w:val="yellow"/>
              </w:rPr>
              <w:t>..</w:t>
            </w:r>
          </w:p>
        </w:tc>
        <w:tc>
          <w:tcPr>
            <w:tcW w:w="4662" w:type="dxa"/>
          </w:tcPr>
          <w:p w:rsidR="008D3FD4" w:rsidRPr="00B70EE6" w:rsidRDefault="008D3FD4" w:rsidP="00DD71E8">
            <w:pPr>
              <w:pStyle w:val="Default"/>
              <w:jc w:val="right"/>
              <w:rPr>
                <w:sz w:val="22"/>
                <w:szCs w:val="22"/>
                <w:lang w:val="en-GB"/>
              </w:rPr>
            </w:pPr>
            <w:r w:rsidRPr="00B70EE6">
              <w:rPr>
                <w:sz w:val="22"/>
                <w:szCs w:val="22"/>
                <w:lang w:val="en-GB"/>
              </w:rPr>
              <w:t xml:space="preserve">NCSR </w:t>
            </w:r>
            <w:r>
              <w:rPr>
                <w:sz w:val="22"/>
                <w:szCs w:val="22"/>
                <w:lang w:val="en-GB"/>
              </w:rPr>
              <w:t>3</w:t>
            </w:r>
            <w:r w:rsidRPr="00B70EE6">
              <w:rPr>
                <w:sz w:val="22"/>
                <w:szCs w:val="22"/>
                <w:lang w:val="en-GB"/>
              </w:rPr>
              <w:t>/INF</w:t>
            </w:r>
            <w:r w:rsidRPr="00B70EE6">
              <w:rPr>
                <w:sz w:val="22"/>
                <w:szCs w:val="22"/>
                <w:highlight w:val="yellow"/>
                <w:lang w:val="en-GB"/>
              </w:rPr>
              <w:t>...</w:t>
            </w:r>
            <w:r w:rsidRPr="00B70EE6">
              <w:rPr>
                <w:sz w:val="22"/>
                <w:szCs w:val="22"/>
                <w:lang w:val="en-GB"/>
              </w:rPr>
              <w:t xml:space="preserve"> </w:t>
            </w:r>
          </w:p>
          <w:p w:rsidR="008D3FD4" w:rsidRPr="00B70EE6" w:rsidRDefault="00D1202A" w:rsidP="00DD71E8">
            <w:pPr>
              <w:pStyle w:val="Default"/>
              <w:jc w:val="right"/>
              <w:rPr>
                <w:sz w:val="22"/>
                <w:szCs w:val="22"/>
                <w:lang w:val="en-GB"/>
              </w:rPr>
            </w:pPr>
            <w:r>
              <w:rPr>
                <w:sz w:val="22"/>
                <w:szCs w:val="22"/>
                <w:lang w:val="en-GB"/>
              </w:rPr>
              <w:t>7 December</w:t>
            </w:r>
            <w:r w:rsidR="008D3FD4" w:rsidRPr="00B70EE6">
              <w:rPr>
                <w:sz w:val="22"/>
                <w:szCs w:val="22"/>
                <w:lang w:val="en-GB"/>
              </w:rPr>
              <w:t xml:space="preserve"> 201</w:t>
            </w:r>
            <w:r>
              <w:rPr>
                <w:sz w:val="22"/>
                <w:szCs w:val="22"/>
                <w:lang w:val="en-GB"/>
              </w:rPr>
              <w:t>5</w:t>
            </w:r>
          </w:p>
          <w:p w:rsidR="008D3FD4" w:rsidRPr="00B70EE6" w:rsidRDefault="00D1202A" w:rsidP="00D1202A">
            <w:pPr>
              <w:pStyle w:val="Default"/>
              <w:jc w:val="right"/>
              <w:rPr>
                <w:sz w:val="22"/>
                <w:szCs w:val="22"/>
                <w:lang w:val="en-GB"/>
              </w:rPr>
            </w:pPr>
            <w:r>
              <w:rPr>
                <w:sz w:val="22"/>
                <w:szCs w:val="22"/>
                <w:lang w:val="en-GB"/>
              </w:rPr>
              <w:t xml:space="preserve">Original: </w:t>
            </w:r>
            <w:r w:rsidR="008D3FD4" w:rsidRPr="00B70EE6">
              <w:rPr>
                <w:sz w:val="22"/>
                <w:szCs w:val="22"/>
                <w:lang w:val="en-GB"/>
              </w:rPr>
              <w:t xml:space="preserve">ENGLISH </w:t>
            </w:r>
          </w:p>
        </w:tc>
      </w:tr>
    </w:tbl>
    <w:p w:rsidR="009B33C1" w:rsidRDefault="009B33C1">
      <w:pPr>
        <w:rPr>
          <w:lang w:val="en-GB"/>
        </w:rPr>
      </w:pPr>
    </w:p>
    <w:p w:rsidR="008D3FD4" w:rsidRPr="008D3FD4" w:rsidRDefault="008D3FD4" w:rsidP="002D6B84">
      <w:pPr>
        <w:autoSpaceDE w:val="0"/>
        <w:autoSpaceDN w:val="0"/>
        <w:adjustRightInd w:val="0"/>
        <w:spacing w:before="240"/>
        <w:jc w:val="center"/>
        <w:rPr>
          <w:rFonts w:ascii="Arial" w:hAnsi="Arial" w:cs="Arial"/>
          <w:color w:val="000000"/>
          <w:sz w:val="28"/>
          <w:szCs w:val="28"/>
          <w:lang w:val="en-GB"/>
        </w:rPr>
      </w:pPr>
      <w:r w:rsidRPr="008D3FD4">
        <w:rPr>
          <w:rFonts w:ascii="Arial" w:hAnsi="Arial" w:cs="Arial"/>
          <w:b/>
          <w:color w:val="000000"/>
          <w:sz w:val="28"/>
          <w:szCs w:val="28"/>
          <w:lang w:val="en-GB"/>
        </w:rPr>
        <w:t>VESSEL TRAFFIC SERVICES</w:t>
      </w:r>
      <w:r w:rsidRPr="008D3FD4">
        <w:rPr>
          <w:rFonts w:ascii="Arial" w:hAnsi="Arial" w:cs="Arial"/>
          <w:color w:val="000000"/>
          <w:sz w:val="28"/>
          <w:szCs w:val="28"/>
          <w:lang w:val="en-GB"/>
        </w:rPr>
        <w:t xml:space="preserve"> </w:t>
      </w:r>
      <w:r w:rsidRPr="008D3FD4">
        <w:rPr>
          <w:rFonts w:ascii="Arial" w:hAnsi="Arial" w:cs="Arial"/>
          <w:b/>
          <w:color w:val="000000"/>
          <w:sz w:val="28"/>
          <w:szCs w:val="28"/>
          <w:lang w:val="en-GB"/>
        </w:rPr>
        <w:t>IN A RAPIDLY CHANGING WORLD</w:t>
      </w:r>
    </w:p>
    <w:p w:rsidR="008D3FD4" w:rsidRPr="008D3FD4" w:rsidRDefault="008D3FD4" w:rsidP="008D3FD4">
      <w:pPr>
        <w:autoSpaceDE w:val="0"/>
        <w:autoSpaceDN w:val="0"/>
        <w:adjustRightInd w:val="0"/>
        <w:ind w:right="-4485"/>
        <w:jc w:val="center"/>
        <w:rPr>
          <w:rFonts w:ascii="Arial" w:hAnsi="Arial" w:cs="Arial"/>
          <w:color w:val="000000"/>
          <w:sz w:val="24"/>
          <w:szCs w:val="24"/>
          <w:lang w:val="en-GB"/>
        </w:rPr>
      </w:pPr>
    </w:p>
    <w:p w:rsidR="008D3FD4" w:rsidRPr="008D3FD4" w:rsidRDefault="008D3FD4" w:rsidP="008D3FD4">
      <w:pPr>
        <w:autoSpaceDE w:val="0"/>
        <w:autoSpaceDN w:val="0"/>
        <w:adjustRightInd w:val="0"/>
        <w:ind w:right="-91"/>
        <w:jc w:val="center"/>
        <w:rPr>
          <w:rFonts w:ascii="Arial" w:hAnsi="Arial" w:cs="Arial"/>
          <w:color w:val="000000"/>
          <w:sz w:val="24"/>
          <w:szCs w:val="24"/>
          <w:lang w:val="en-GB"/>
        </w:rPr>
      </w:pPr>
      <w:r w:rsidRPr="008D3FD4">
        <w:rPr>
          <w:rFonts w:ascii="Arial" w:hAnsi="Arial" w:cs="Arial"/>
          <w:color w:val="000000"/>
          <w:sz w:val="24"/>
          <w:szCs w:val="24"/>
          <w:lang w:val="en-GB"/>
        </w:rPr>
        <w:t>Submitted by</w:t>
      </w:r>
    </w:p>
    <w:p w:rsidR="008D3FD4" w:rsidRPr="008D3FD4" w:rsidRDefault="008D3FD4" w:rsidP="008D3FD4">
      <w:pPr>
        <w:autoSpaceDE w:val="0"/>
        <w:autoSpaceDN w:val="0"/>
        <w:adjustRightInd w:val="0"/>
        <w:ind w:right="-91"/>
        <w:jc w:val="center"/>
        <w:rPr>
          <w:rFonts w:ascii="Arial" w:hAnsi="Arial" w:cs="Arial"/>
          <w:color w:val="000000"/>
          <w:sz w:val="24"/>
          <w:szCs w:val="24"/>
          <w:lang w:val="en-GB"/>
        </w:rPr>
      </w:pPr>
      <w:proofErr w:type="gramStart"/>
      <w:r w:rsidRPr="008D3FD4">
        <w:rPr>
          <w:rFonts w:ascii="Arial" w:hAnsi="Arial" w:cs="Arial"/>
          <w:color w:val="000000"/>
          <w:sz w:val="24"/>
          <w:szCs w:val="24"/>
          <w:lang w:val="en-GB"/>
        </w:rPr>
        <w:t>the</w:t>
      </w:r>
      <w:proofErr w:type="gramEnd"/>
      <w:r w:rsidRPr="008D3FD4">
        <w:rPr>
          <w:rFonts w:ascii="Arial" w:hAnsi="Arial" w:cs="Arial"/>
          <w:color w:val="000000"/>
          <w:sz w:val="24"/>
          <w:szCs w:val="24"/>
          <w:lang w:val="en-GB"/>
        </w:rPr>
        <w:t xml:space="preserve"> International Association of Marine Aids to Navigation and Lighthouse Authorities (IALA)</w:t>
      </w:r>
    </w:p>
    <w:p w:rsidR="008D3FD4" w:rsidRDefault="008D3FD4">
      <w:pPr>
        <w:rPr>
          <w:lang w:val="en-GB"/>
        </w:rPr>
      </w:pPr>
    </w:p>
    <w:tbl>
      <w:tblPr>
        <w:tblW w:w="96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83"/>
        <w:gridCol w:w="5223"/>
      </w:tblGrid>
      <w:tr w:rsidR="008D3FD4" w:rsidRPr="008D3FD4" w:rsidTr="008D3FD4">
        <w:trPr>
          <w:trHeight w:val="104"/>
        </w:trPr>
        <w:tc>
          <w:tcPr>
            <w:tcW w:w="9606" w:type="dxa"/>
            <w:gridSpan w:val="2"/>
          </w:tcPr>
          <w:p w:rsidR="008D3FD4" w:rsidRPr="008D3FD4" w:rsidRDefault="008D3FD4" w:rsidP="008D3FD4">
            <w:pPr>
              <w:autoSpaceDE w:val="0"/>
              <w:autoSpaceDN w:val="0"/>
              <w:adjustRightInd w:val="0"/>
              <w:spacing w:before="240"/>
              <w:jc w:val="center"/>
              <w:rPr>
                <w:rFonts w:ascii="Arial" w:hAnsi="Arial" w:cs="Arial"/>
                <w:b/>
                <w:bCs/>
                <w:color w:val="000000"/>
                <w:lang w:val="nl-NL"/>
              </w:rPr>
            </w:pPr>
            <w:r w:rsidRPr="008D3FD4">
              <w:rPr>
                <w:rFonts w:ascii="Arial" w:hAnsi="Arial" w:cs="Arial"/>
                <w:b/>
                <w:bCs/>
                <w:color w:val="000000"/>
                <w:lang w:val="nl-NL"/>
              </w:rPr>
              <w:t>SUMMARY</w:t>
            </w:r>
          </w:p>
          <w:p w:rsidR="008D3FD4" w:rsidRPr="008D3FD4" w:rsidRDefault="008D3FD4" w:rsidP="008D3FD4">
            <w:pPr>
              <w:autoSpaceDE w:val="0"/>
              <w:autoSpaceDN w:val="0"/>
              <w:adjustRightInd w:val="0"/>
              <w:jc w:val="center"/>
              <w:rPr>
                <w:rFonts w:ascii="Arial" w:hAnsi="Arial" w:cs="Arial"/>
                <w:color w:val="000000"/>
                <w:lang w:val="nl-NL"/>
              </w:rPr>
            </w:pPr>
          </w:p>
        </w:tc>
      </w:tr>
      <w:tr w:rsidR="008D3FD4" w:rsidRPr="00F757E8" w:rsidTr="008D3FD4">
        <w:trPr>
          <w:trHeight w:val="358"/>
        </w:trPr>
        <w:tc>
          <w:tcPr>
            <w:tcW w:w="4383" w:type="dxa"/>
          </w:tcPr>
          <w:p w:rsidR="008D3FD4" w:rsidRPr="008D3FD4" w:rsidRDefault="008D3FD4" w:rsidP="008D3FD4">
            <w:pPr>
              <w:autoSpaceDE w:val="0"/>
              <w:autoSpaceDN w:val="0"/>
              <w:adjustRightInd w:val="0"/>
              <w:rPr>
                <w:rFonts w:ascii="Arial" w:hAnsi="Arial" w:cs="Arial"/>
                <w:color w:val="000000"/>
                <w:lang w:val="nl-NL"/>
              </w:rPr>
            </w:pPr>
            <w:r w:rsidRPr="008D3FD4">
              <w:rPr>
                <w:rFonts w:ascii="Arial" w:hAnsi="Arial" w:cs="Arial"/>
                <w:i/>
                <w:iCs/>
                <w:color w:val="000000"/>
                <w:lang w:val="nl-NL"/>
              </w:rPr>
              <w:t xml:space="preserve">Executive summary: </w:t>
            </w:r>
          </w:p>
        </w:tc>
        <w:tc>
          <w:tcPr>
            <w:tcW w:w="5223" w:type="dxa"/>
          </w:tcPr>
          <w:p w:rsidR="008D3FD4" w:rsidRPr="008D3FD4" w:rsidRDefault="0062617C" w:rsidP="008D3FD4">
            <w:pPr>
              <w:autoSpaceDE w:val="0"/>
              <w:autoSpaceDN w:val="0"/>
              <w:adjustRightInd w:val="0"/>
              <w:spacing w:line="360" w:lineRule="auto"/>
              <w:rPr>
                <w:rFonts w:ascii="Arial" w:hAnsi="Arial" w:cs="Arial"/>
                <w:color w:val="000000"/>
                <w:lang w:val="en-US"/>
              </w:rPr>
            </w:pPr>
            <w:r>
              <w:rPr>
                <w:rFonts w:ascii="Arial" w:hAnsi="Arial" w:cs="Arial"/>
                <w:color w:val="000000"/>
                <w:lang w:val="en-US"/>
              </w:rPr>
              <w:t xml:space="preserve">This document </w:t>
            </w:r>
            <w:r w:rsidR="008D3FD4" w:rsidRPr="008D3FD4">
              <w:rPr>
                <w:rFonts w:ascii="Arial" w:hAnsi="Arial" w:cs="Arial"/>
                <w:color w:val="000000"/>
                <w:lang w:val="en-US"/>
              </w:rPr>
              <w:t>inform</w:t>
            </w:r>
            <w:r>
              <w:rPr>
                <w:rFonts w:ascii="Arial" w:hAnsi="Arial" w:cs="Arial"/>
                <w:color w:val="000000"/>
                <w:lang w:val="en-US"/>
              </w:rPr>
              <w:t>s</w:t>
            </w:r>
            <w:r w:rsidR="008D3FD4" w:rsidRPr="008D3FD4">
              <w:rPr>
                <w:rFonts w:ascii="Arial" w:hAnsi="Arial" w:cs="Arial"/>
                <w:color w:val="000000"/>
                <w:lang w:val="en-US"/>
              </w:rPr>
              <w:t xml:space="preserve"> the Sub-commi</w:t>
            </w:r>
            <w:r>
              <w:rPr>
                <w:rFonts w:ascii="Arial" w:hAnsi="Arial" w:cs="Arial"/>
                <w:color w:val="000000"/>
                <w:lang w:val="en-US"/>
              </w:rPr>
              <w:t>t</w:t>
            </w:r>
            <w:r w:rsidR="008D3FD4" w:rsidRPr="008D3FD4">
              <w:rPr>
                <w:rFonts w:ascii="Arial" w:hAnsi="Arial" w:cs="Arial"/>
                <w:color w:val="000000"/>
                <w:lang w:val="en-US"/>
              </w:rPr>
              <w:t xml:space="preserve">tee on the development of IALA VTS related activities and the potential implications for the existing international guidance for the provision of VTS under SOLAS.  </w:t>
            </w:r>
          </w:p>
        </w:tc>
      </w:tr>
      <w:tr w:rsidR="008D3FD4" w:rsidRPr="008D3FD4" w:rsidTr="008D3FD4">
        <w:trPr>
          <w:trHeight w:val="104"/>
        </w:trPr>
        <w:tc>
          <w:tcPr>
            <w:tcW w:w="4383" w:type="dxa"/>
          </w:tcPr>
          <w:p w:rsidR="008D3FD4" w:rsidRPr="008D3FD4" w:rsidRDefault="008D3FD4" w:rsidP="008D3FD4">
            <w:pPr>
              <w:autoSpaceDE w:val="0"/>
              <w:autoSpaceDN w:val="0"/>
              <w:adjustRightInd w:val="0"/>
              <w:spacing w:line="360" w:lineRule="auto"/>
              <w:rPr>
                <w:rFonts w:ascii="Arial" w:hAnsi="Arial" w:cs="Arial"/>
                <w:color w:val="000000"/>
                <w:lang w:val="nl-NL"/>
              </w:rPr>
            </w:pPr>
            <w:r w:rsidRPr="008D3FD4">
              <w:rPr>
                <w:rFonts w:ascii="Arial" w:hAnsi="Arial" w:cs="Arial"/>
                <w:i/>
                <w:iCs/>
                <w:color w:val="000000"/>
                <w:lang w:val="nl-NL"/>
              </w:rPr>
              <w:t xml:space="preserve">Strategic direction: </w:t>
            </w:r>
          </w:p>
        </w:tc>
        <w:tc>
          <w:tcPr>
            <w:tcW w:w="5223" w:type="dxa"/>
          </w:tcPr>
          <w:p w:rsidR="008D3FD4" w:rsidRPr="00E1509B" w:rsidRDefault="008D3FD4" w:rsidP="008D3FD4">
            <w:pPr>
              <w:autoSpaceDE w:val="0"/>
              <w:autoSpaceDN w:val="0"/>
              <w:adjustRightInd w:val="0"/>
              <w:spacing w:line="360" w:lineRule="auto"/>
              <w:rPr>
                <w:rFonts w:ascii="Arial" w:hAnsi="Arial" w:cs="Arial"/>
                <w:color w:val="000000"/>
                <w:lang w:val="nl-NL"/>
              </w:rPr>
            </w:pPr>
            <w:r w:rsidRPr="00E1509B">
              <w:rPr>
                <w:rFonts w:ascii="Arial" w:hAnsi="Arial" w:cs="Arial"/>
                <w:color w:val="000000"/>
                <w:lang w:val="nl-NL"/>
              </w:rPr>
              <w:t xml:space="preserve">5.2 </w:t>
            </w:r>
          </w:p>
        </w:tc>
      </w:tr>
      <w:tr w:rsidR="008D3FD4" w:rsidRPr="008D3FD4" w:rsidTr="008D3FD4">
        <w:trPr>
          <w:trHeight w:val="104"/>
        </w:trPr>
        <w:tc>
          <w:tcPr>
            <w:tcW w:w="4383" w:type="dxa"/>
          </w:tcPr>
          <w:p w:rsidR="008D3FD4" w:rsidRPr="008D3FD4" w:rsidRDefault="008D3FD4" w:rsidP="008D3FD4">
            <w:pPr>
              <w:autoSpaceDE w:val="0"/>
              <w:autoSpaceDN w:val="0"/>
              <w:adjustRightInd w:val="0"/>
              <w:spacing w:line="360" w:lineRule="auto"/>
              <w:rPr>
                <w:rFonts w:ascii="Arial" w:hAnsi="Arial" w:cs="Arial"/>
                <w:color w:val="000000"/>
                <w:lang w:val="nl-NL"/>
              </w:rPr>
            </w:pPr>
            <w:r w:rsidRPr="008D3FD4">
              <w:rPr>
                <w:rFonts w:ascii="Arial" w:hAnsi="Arial" w:cs="Arial"/>
                <w:i/>
                <w:iCs/>
                <w:color w:val="000000"/>
                <w:lang w:val="nl-NL"/>
              </w:rPr>
              <w:t xml:space="preserve">High-level action: </w:t>
            </w:r>
          </w:p>
        </w:tc>
        <w:tc>
          <w:tcPr>
            <w:tcW w:w="5223" w:type="dxa"/>
          </w:tcPr>
          <w:p w:rsidR="008D3FD4" w:rsidRPr="00E1509B" w:rsidRDefault="008D3FD4" w:rsidP="008D3FD4">
            <w:pPr>
              <w:autoSpaceDE w:val="0"/>
              <w:autoSpaceDN w:val="0"/>
              <w:adjustRightInd w:val="0"/>
              <w:spacing w:line="360" w:lineRule="auto"/>
              <w:rPr>
                <w:rFonts w:ascii="Arial" w:hAnsi="Arial" w:cs="Arial"/>
                <w:color w:val="000000"/>
                <w:lang w:val="nl-NL"/>
              </w:rPr>
            </w:pPr>
            <w:r w:rsidRPr="00E1509B">
              <w:rPr>
                <w:rFonts w:ascii="Arial" w:hAnsi="Arial" w:cs="Arial"/>
                <w:color w:val="000000"/>
                <w:lang w:val="nl-NL"/>
              </w:rPr>
              <w:t>5.2.4</w:t>
            </w:r>
          </w:p>
        </w:tc>
      </w:tr>
      <w:tr w:rsidR="008D3FD4" w:rsidRPr="008D3FD4" w:rsidTr="008D3FD4">
        <w:trPr>
          <w:trHeight w:val="104"/>
        </w:trPr>
        <w:tc>
          <w:tcPr>
            <w:tcW w:w="4383" w:type="dxa"/>
          </w:tcPr>
          <w:p w:rsidR="008D3FD4" w:rsidRPr="008D3FD4" w:rsidRDefault="008D3FD4" w:rsidP="008D3FD4">
            <w:pPr>
              <w:autoSpaceDE w:val="0"/>
              <w:autoSpaceDN w:val="0"/>
              <w:adjustRightInd w:val="0"/>
              <w:spacing w:line="360" w:lineRule="auto"/>
              <w:rPr>
                <w:rFonts w:ascii="Arial" w:hAnsi="Arial" w:cs="Arial"/>
                <w:color w:val="000000"/>
                <w:lang w:val="nl-NL"/>
              </w:rPr>
            </w:pPr>
            <w:r w:rsidRPr="008D3FD4">
              <w:rPr>
                <w:rFonts w:ascii="Arial" w:hAnsi="Arial" w:cs="Arial"/>
                <w:i/>
                <w:iCs/>
                <w:color w:val="000000"/>
                <w:lang w:val="nl-NL"/>
              </w:rPr>
              <w:t xml:space="preserve">Planned output: </w:t>
            </w:r>
          </w:p>
        </w:tc>
        <w:tc>
          <w:tcPr>
            <w:tcW w:w="5223" w:type="dxa"/>
          </w:tcPr>
          <w:p w:rsidR="008D3FD4" w:rsidRPr="008D3FD4" w:rsidRDefault="008D3FD4" w:rsidP="008D3FD4">
            <w:pPr>
              <w:autoSpaceDE w:val="0"/>
              <w:autoSpaceDN w:val="0"/>
              <w:adjustRightInd w:val="0"/>
              <w:spacing w:line="360" w:lineRule="auto"/>
              <w:rPr>
                <w:rFonts w:ascii="Arial" w:hAnsi="Arial" w:cs="Arial"/>
                <w:color w:val="000000"/>
                <w:highlight w:val="yellow"/>
                <w:lang w:val="nl-NL"/>
              </w:rPr>
            </w:pPr>
          </w:p>
        </w:tc>
      </w:tr>
      <w:tr w:rsidR="008D3FD4" w:rsidRPr="008D3FD4" w:rsidTr="008D3FD4">
        <w:trPr>
          <w:trHeight w:val="104"/>
        </w:trPr>
        <w:tc>
          <w:tcPr>
            <w:tcW w:w="4383" w:type="dxa"/>
          </w:tcPr>
          <w:p w:rsidR="008D3FD4" w:rsidRPr="008D3FD4" w:rsidRDefault="008D3FD4" w:rsidP="008D3FD4">
            <w:pPr>
              <w:autoSpaceDE w:val="0"/>
              <w:autoSpaceDN w:val="0"/>
              <w:adjustRightInd w:val="0"/>
              <w:spacing w:line="360" w:lineRule="auto"/>
              <w:rPr>
                <w:rFonts w:ascii="Arial" w:hAnsi="Arial" w:cs="Arial"/>
                <w:color w:val="000000"/>
                <w:lang w:val="nl-NL"/>
              </w:rPr>
            </w:pPr>
            <w:r w:rsidRPr="008D3FD4">
              <w:rPr>
                <w:rFonts w:ascii="Arial" w:hAnsi="Arial" w:cs="Arial"/>
                <w:i/>
                <w:iCs/>
                <w:color w:val="000000"/>
                <w:lang w:val="nl-NL"/>
              </w:rPr>
              <w:t xml:space="preserve">Action to be taken: </w:t>
            </w:r>
          </w:p>
        </w:tc>
        <w:tc>
          <w:tcPr>
            <w:tcW w:w="5223" w:type="dxa"/>
          </w:tcPr>
          <w:p w:rsidR="008D3FD4" w:rsidRPr="008D3FD4" w:rsidRDefault="008D3FD4" w:rsidP="002D6B84">
            <w:pPr>
              <w:autoSpaceDE w:val="0"/>
              <w:autoSpaceDN w:val="0"/>
              <w:adjustRightInd w:val="0"/>
              <w:spacing w:line="360" w:lineRule="auto"/>
              <w:rPr>
                <w:rFonts w:ascii="Arial" w:hAnsi="Arial" w:cs="Arial"/>
                <w:color w:val="000000"/>
                <w:lang w:val="nl-NL"/>
              </w:rPr>
            </w:pPr>
            <w:r w:rsidRPr="008D3FD4">
              <w:rPr>
                <w:rFonts w:ascii="Arial" w:hAnsi="Arial" w:cs="Arial"/>
                <w:color w:val="000000"/>
                <w:lang w:val="nl-NL"/>
              </w:rPr>
              <w:t xml:space="preserve">Paragraph </w:t>
            </w:r>
            <w:r w:rsidR="002D6B84" w:rsidRPr="002D6B84">
              <w:rPr>
                <w:rFonts w:ascii="Arial" w:hAnsi="Arial" w:cs="Arial"/>
                <w:color w:val="000000"/>
                <w:lang w:val="nl-NL"/>
              </w:rPr>
              <w:t>18</w:t>
            </w:r>
            <w:r w:rsidRPr="008D3FD4">
              <w:rPr>
                <w:rFonts w:ascii="Arial" w:hAnsi="Arial" w:cs="Arial"/>
                <w:color w:val="000000"/>
                <w:lang w:val="nl-NL"/>
              </w:rPr>
              <w:t xml:space="preserve"> </w:t>
            </w:r>
          </w:p>
        </w:tc>
      </w:tr>
      <w:tr w:rsidR="008D3FD4" w:rsidRPr="00F757E8" w:rsidTr="008D3FD4">
        <w:trPr>
          <w:trHeight w:val="231"/>
        </w:trPr>
        <w:tc>
          <w:tcPr>
            <w:tcW w:w="4383" w:type="dxa"/>
          </w:tcPr>
          <w:p w:rsidR="008D3FD4" w:rsidRPr="008D3FD4" w:rsidRDefault="008D3FD4" w:rsidP="008D3FD4">
            <w:pPr>
              <w:autoSpaceDE w:val="0"/>
              <w:autoSpaceDN w:val="0"/>
              <w:adjustRightInd w:val="0"/>
              <w:spacing w:line="360" w:lineRule="auto"/>
              <w:rPr>
                <w:rFonts w:ascii="Arial" w:hAnsi="Arial" w:cs="Arial"/>
                <w:color w:val="000000"/>
                <w:lang w:val="nl-NL"/>
              </w:rPr>
            </w:pPr>
            <w:r w:rsidRPr="008D3FD4">
              <w:rPr>
                <w:rFonts w:ascii="Arial" w:hAnsi="Arial" w:cs="Arial"/>
                <w:i/>
                <w:iCs/>
                <w:color w:val="000000"/>
                <w:lang w:val="nl-NL"/>
              </w:rPr>
              <w:t xml:space="preserve">Related documents: </w:t>
            </w:r>
          </w:p>
        </w:tc>
        <w:tc>
          <w:tcPr>
            <w:tcW w:w="5223" w:type="dxa"/>
          </w:tcPr>
          <w:p w:rsidR="008D3FD4" w:rsidRPr="008D3FD4" w:rsidRDefault="005B223A" w:rsidP="00313CCE">
            <w:pPr>
              <w:autoSpaceDE w:val="0"/>
              <w:autoSpaceDN w:val="0"/>
              <w:adjustRightInd w:val="0"/>
              <w:spacing w:line="360" w:lineRule="auto"/>
              <w:rPr>
                <w:rFonts w:ascii="Arial" w:hAnsi="Arial" w:cs="Arial"/>
                <w:color w:val="000000"/>
                <w:lang w:val="en-GB"/>
              </w:rPr>
            </w:pPr>
            <w:r w:rsidRPr="00313CCE">
              <w:rPr>
                <w:rFonts w:ascii="Arial" w:hAnsi="Arial" w:cs="Arial"/>
                <w:color w:val="000000"/>
                <w:lang w:val="en-GB"/>
              </w:rPr>
              <w:t xml:space="preserve">IMO </w:t>
            </w:r>
            <w:r w:rsidR="00313CCE">
              <w:rPr>
                <w:rFonts w:ascii="Arial" w:hAnsi="Arial" w:cs="Arial"/>
                <w:color w:val="000000"/>
                <w:lang w:val="en-GB"/>
              </w:rPr>
              <w:t>Resolution</w:t>
            </w:r>
            <w:r w:rsidR="008D3FD4" w:rsidRPr="00313CCE">
              <w:rPr>
                <w:rFonts w:ascii="Arial" w:hAnsi="Arial" w:cs="Arial"/>
                <w:color w:val="000000"/>
                <w:lang w:val="en-GB"/>
              </w:rPr>
              <w:t xml:space="preserve"> </w:t>
            </w:r>
            <w:r w:rsidRPr="00313CCE">
              <w:rPr>
                <w:rFonts w:ascii="Arial" w:hAnsi="Arial" w:cs="Arial"/>
                <w:color w:val="000000"/>
                <w:lang w:val="en-GB"/>
              </w:rPr>
              <w:t>A.857(20)</w:t>
            </w:r>
            <w:r w:rsidR="00313CCE" w:rsidRPr="00313CCE">
              <w:rPr>
                <w:rFonts w:ascii="Arial" w:hAnsi="Arial" w:cs="Arial"/>
                <w:color w:val="000000"/>
                <w:lang w:val="en-GB"/>
              </w:rPr>
              <w:t>, MSC.43(64</w:t>
            </w:r>
            <w:r w:rsidR="00313CCE">
              <w:rPr>
                <w:rFonts w:ascii="Arial" w:hAnsi="Arial" w:cs="Arial"/>
                <w:color w:val="000000"/>
                <w:lang w:val="en-GB"/>
              </w:rPr>
              <w:t>)</w:t>
            </w:r>
            <w:r w:rsidR="00B95844">
              <w:rPr>
                <w:rFonts w:ascii="Arial" w:hAnsi="Arial" w:cs="Arial"/>
                <w:color w:val="000000"/>
                <w:lang w:val="en-GB"/>
              </w:rPr>
              <w:t xml:space="preserve"> as amended, MSC circular 586, </w:t>
            </w:r>
            <w:r w:rsidR="00313CCE" w:rsidRPr="00313CCE">
              <w:rPr>
                <w:rFonts w:ascii="Arial" w:hAnsi="Arial" w:cs="Arial"/>
                <w:color w:val="000000"/>
                <w:lang w:val="en-GB"/>
              </w:rPr>
              <w:t>MSC circular 1065</w:t>
            </w:r>
          </w:p>
        </w:tc>
      </w:tr>
    </w:tbl>
    <w:p w:rsidR="008D3FD4" w:rsidRPr="00F757E8" w:rsidRDefault="008D3FD4">
      <w:pPr>
        <w:rPr>
          <w:lang w:val="en-US"/>
        </w:rPr>
      </w:pPr>
    </w:p>
    <w:p w:rsidR="008D3FD4" w:rsidRPr="008D3FD4" w:rsidRDefault="008D3FD4" w:rsidP="008D3FD4">
      <w:pPr>
        <w:rPr>
          <w:rFonts w:ascii="Arial" w:hAnsi="Arial" w:cs="Arial"/>
          <w:b/>
          <w:color w:val="555555"/>
          <w:lang w:val="en-US"/>
        </w:rPr>
      </w:pPr>
      <w:r w:rsidRPr="008D3FD4">
        <w:rPr>
          <w:rFonts w:ascii="Arial" w:hAnsi="Arial" w:cs="Arial"/>
          <w:b/>
          <w:color w:val="555555"/>
          <w:lang w:val="en-US"/>
        </w:rPr>
        <w:t>Introduction</w:t>
      </w:r>
    </w:p>
    <w:p w:rsidR="008D3FD4" w:rsidRPr="008D3FD4" w:rsidRDefault="008D3FD4" w:rsidP="002D6B84">
      <w:pPr>
        <w:spacing w:before="240"/>
        <w:jc w:val="both"/>
        <w:rPr>
          <w:rFonts w:ascii="Arial" w:hAnsi="Arial" w:cs="Arial"/>
          <w:color w:val="555555"/>
          <w:lang w:val="en-US"/>
        </w:rPr>
      </w:pPr>
      <w:r w:rsidRPr="008D3FD4">
        <w:rPr>
          <w:rFonts w:ascii="Arial" w:hAnsi="Arial" w:cs="Arial"/>
          <w:color w:val="555555"/>
          <w:lang w:val="en-US"/>
        </w:rPr>
        <w:t>1</w:t>
      </w:r>
      <w:r>
        <w:rPr>
          <w:rFonts w:ascii="Arial" w:hAnsi="Arial" w:cs="Arial"/>
          <w:color w:val="555555"/>
          <w:lang w:val="en-US"/>
        </w:rPr>
        <w:tab/>
      </w:r>
      <w:r w:rsidRPr="008D3FD4">
        <w:rPr>
          <w:rFonts w:ascii="Arial" w:hAnsi="Arial" w:cs="Arial"/>
          <w:color w:val="555555"/>
          <w:lang w:val="en-US"/>
        </w:rPr>
        <w:t>The International Association of Marine Aids to Navigation</w:t>
      </w:r>
      <w:r w:rsidRPr="008D3FD4">
        <w:rPr>
          <w:rFonts w:ascii="Arial" w:hAnsi="Arial" w:cs="Arial"/>
          <w:color w:val="555555"/>
          <w:vertAlign w:val="superscript"/>
          <w:lang w:val="en-US"/>
        </w:rPr>
        <w:footnoteReference w:id="1"/>
      </w:r>
      <w:r w:rsidRPr="008D3FD4">
        <w:rPr>
          <w:rFonts w:ascii="Arial" w:hAnsi="Arial" w:cs="Arial"/>
          <w:color w:val="555555"/>
          <w:lang w:val="en-US"/>
        </w:rPr>
        <w:t xml:space="preserve"> and Lighthouse Authorities (IALA), has the aim to foster the safe and efficient movement of vessels through the improvement and </w:t>
      </w:r>
      <w:proofErr w:type="spellStart"/>
      <w:r w:rsidRPr="008D3FD4">
        <w:rPr>
          <w:rFonts w:ascii="Arial" w:hAnsi="Arial" w:cs="Arial"/>
          <w:color w:val="555555"/>
          <w:lang w:val="en-US"/>
        </w:rPr>
        <w:t>harmonisation</w:t>
      </w:r>
      <w:proofErr w:type="spellEnd"/>
      <w:r w:rsidRPr="008D3FD4">
        <w:rPr>
          <w:rFonts w:ascii="Arial" w:hAnsi="Arial" w:cs="Arial"/>
          <w:color w:val="555555"/>
          <w:lang w:val="en-US"/>
        </w:rPr>
        <w:t xml:space="preserve"> of marine aids to navigation worldwide, and by other appropriate means.</w:t>
      </w:r>
    </w:p>
    <w:p w:rsidR="008D3FD4" w:rsidRPr="008D3FD4" w:rsidRDefault="008D3FD4" w:rsidP="008D3FD4">
      <w:pPr>
        <w:rPr>
          <w:rFonts w:ascii="Arial" w:hAnsi="Arial" w:cs="Arial"/>
          <w:color w:val="555555"/>
          <w:lang w:val="en-US"/>
        </w:rPr>
      </w:pPr>
    </w:p>
    <w:p w:rsidR="008D3FD4" w:rsidRPr="008D3FD4" w:rsidRDefault="008D3FD4" w:rsidP="00D1202A">
      <w:pPr>
        <w:spacing w:after="120"/>
        <w:jc w:val="both"/>
        <w:rPr>
          <w:rFonts w:ascii="Arial" w:hAnsi="Arial" w:cs="Arial"/>
          <w:color w:val="555555"/>
          <w:lang w:val="en-US"/>
        </w:rPr>
      </w:pPr>
      <w:r>
        <w:rPr>
          <w:rFonts w:ascii="Arial" w:hAnsi="Arial" w:cs="Arial"/>
          <w:color w:val="555555"/>
          <w:lang w:val="en-US"/>
        </w:rPr>
        <w:t>2</w:t>
      </w:r>
      <w:r>
        <w:rPr>
          <w:rFonts w:ascii="Arial" w:hAnsi="Arial" w:cs="Arial"/>
          <w:color w:val="555555"/>
          <w:lang w:val="en-US"/>
        </w:rPr>
        <w:tab/>
      </w:r>
      <w:r w:rsidRPr="008D3FD4">
        <w:rPr>
          <w:rFonts w:ascii="Arial" w:hAnsi="Arial" w:cs="Arial"/>
          <w:color w:val="555555"/>
          <w:lang w:val="en-US"/>
        </w:rPr>
        <w:t>The role of IALA as regards to Vessel Traffic Services (VTS) is well established and recognized in current IMO instruments and documentation. In particular this includes:</w:t>
      </w:r>
    </w:p>
    <w:p w:rsidR="008D3FD4" w:rsidRPr="008D3FD4" w:rsidRDefault="0062617C" w:rsidP="002D6B84">
      <w:pPr>
        <w:numPr>
          <w:ilvl w:val="0"/>
          <w:numId w:val="13"/>
        </w:numPr>
        <w:spacing w:line="276" w:lineRule="auto"/>
        <w:jc w:val="both"/>
        <w:rPr>
          <w:rFonts w:ascii="Arial" w:hAnsi="Arial" w:cs="Arial"/>
          <w:color w:val="555555"/>
          <w:lang w:val="en-US"/>
        </w:rPr>
      </w:pPr>
      <w:r>
        <w:rPr>
          <w:rFonts w:ascii="Arial" w:hAnsi="Arial" w:cs="Arial"/>
          <w:color w:val="555555"/>
          <w:lang w:val="en-US"/>
        </w:rPr>
        <w:t xml:space="preserve">SOLAS Chapter V, Regulation </w:t>
      </w:r>
      <w:r w:rsidR="008D3FD4" w:rsidRPr="0062617C">
        <w:rPr>
          <w:rFonts w:ascii="Arial" w:hAnsi="Arial" w:cs="Arial"/>
          <w:color w:val="555555"/>
          <w:lang w:val="en-US"/>
        </w:rPr>
        <w:t>12</w:t>
      </w:r>
      <w:r>
        <w:rPr>
          <w:rFonts w:ascii="Arial" w:hAnsi="Arial" w:cs="Arial"/>
          <w:color w:val="555555"/>
          <w:lang w:val="en-US"/>
        </w:rPr>
        <w:t xml:space="preserve"> Vessel Traffic Services</w:t>
      </w:r>
    </w:p>
    <w:p w:rsidR="008D3FD4" w:rsidRPr="008D3FD4" w:rsidRDefault="00313CCE" w:rsidP="002D6B84">
      <w:pPr>
        <w:numPr>
          <w:ilvl w:val="0"/>
          <w:numId w:val="13"/>
        </w:numPr>
        <w:spacing w:line="276" w:lineRule="auto"/>
        <w:jc w:val="both"/>
        <w:rPr>
          <w:rFonts w:ascii="Arial" w:hAnsi="Arial" w:cs="Arial"/>
          <w:color w:val="555555"/>
          <w:lang w:val="en-US"/>
        </w:rPr>
      </w:pPr>
      <w:r>
        <w:rPr>
          <w:rFonts w:ascii="Arial" w:hAnsi="Arial" w:cs="Arial"/>
          <w:color w:val="555555"/>
          <w:lang w:val="en-US"/>
        </w:rPr>
        <w:t xml:space="preserve">IMO </w:t>
      </w:r>
      <w:r w:rsidR="008D3FD4" w:rsidRPr="008D3FD4">
        <w:rPr>
          <w:rFonts w:ascii="Arial" w:hAnsi="Arial" w:cs="Arial"/>
          <w:color w:val="555555"/>
          <w:lang w:val="en-US"/>
        </w:rPr>
        <w:t>Resolution A.857(20), “Guidelines for Vessel Traffic Services”</w:t>
      </w:r>
    </w:p>
    <w:p w:rsidR="008D3FD4" w:rsidRPr="005B223A" w:rsidRDefault="00313CCE" w:rsidP="002D6B84">
      <w:pPr>
        <w:numPr>
          <w:ilvl w:val="0"/>
          <w:numId w:val="13"/>
        </w:numPr>
        <w:spacing w:line="276" w:lineRule="auto"/>
        <w:jc w:val="both"/>
        <w:rPr>
          <w:rFonts w:ascii="Arial" w:hAnsi="Arial" w:cs="Arial"/>
          <w:color w:val="555555"/>
          <w:lang w:val="en-US"/>
        </w:rPr>
      </w:pPr>
      <w:r>
        <w:rPr>
          <w:rFonts w:ascii="Arial" w:hAnsi="Arial" w:cs="Arial"/>
          <w:color w:val="555555"/>
          <w:lang w:val="en-US"/>
        </w:rPr>
        <w:t xml:space="preserve">IMO </w:t>
      </w:r>
      <w:r w:rsidR="008D3FD4" w:rsidRPr="005B223A">
        <w:rPr>
          <w:rFonts w:ascii="Arial" w:hAnsi="Arial" w:cs="Arial"/>
          <w:color w:val="555555"/>
          <w:lang w:val="en-US"/>
        </w:rPr>
        <w:t>Resolution MSC.43 (64), “Guidelines and criteria for Ship Reporting Systems”</w:t>
      </w:r>
    </w:p>
    <w:p w:rsidR="008D3FD4" w:rsidRPr="008D3FD4" w:rsidRDefault="008D3FD4" w:rsidP="002D6B84">
      <w:pPr>
        <w:numPr>
          <w:ilvl w:val="0"/>
          <w:numId w:val="13"/>
        </w:numPr>
        <w:spacing w:line="276" w:lineRule="auto"/>
        <w:jc w:val="both"/>
        <w:rPr>
          <w:rFonts w:ascii="Arial" w:hAnsi="Arial" w:cs="Arial"/>
          <w:color w:val="555555"/>
          <w:lang w:val="en-US"/>
        </w:rPr>
      </w:pPr>
      <w:r w:rsidRPr="008D3FD4">
        <w:rPr>
          <w:rFonts w:ascii="Arial" w:hAnsi="Arial" w:cs="Arial"/>
          <w:color w:val="555555"/>
          <w:lang w:val="en-US"/>
        </w:rPr>
        <w:t>MSC circular 586 on the IALA/IAPH/IMPA World VTS Guide</w:t>
      </w:r>
    </w:p>
    <w:p w:rsidR="008D3FD4" w:rsidRPr="008D3FD4" w:rsidRDefault="008D3FD4" w:rsidP="002D6B84">
      <w:pPr>
        <w:numPr>
          <w:ilvl w:val="0"/>
          <w:numId w:val="13"/>
        </w:numPr>
        <w:spacing w:line="276" w:lineRule="auto"/>
        <w:jc w:val="both"/>
        <w:rPr>
          <w:rFonts w:ascii="Arial" w:hAnsi="Arial" w:cs="Arial"/>
          <w:color w:val="555555"/>
          <w:lang w:val="en-US"/>
        </w:rPr>
      </w:pPr>
      <w:r w:rsidRPr="008D3FD4">
        <w:rPr>
          <w:rFonts w:ascii="Arial" w:hAnsi="Arial" w:cs="Arial"/>
          <w:color w:val="555555"/>
          <w:lang w:val="en-US"/>
        </w:rPr>
        <w:t>MSC circular 1065 on IALA standards for training and certification of Vessel Traffic Service (VTS) personnel</w:t>
      </w:r>
    </w:p>
    <w:p w:rsidR="008D3FD4" w:rsidRPr="008D3FD4" w:rsidRDefault="008D3FD4" w:rsidP="008D3FD4">
      <w:pPr>
        <w:ind w:left="360"/>
        <w:rPr>
          <w:rFonts w:ascii="Arial" w:hAnsi="Arial" w:cs="Arial"/>
          <w:color w:val="555555"/>
          <w:lang w:val="en-US"/>
        </w:rPr>
      </w:pPr>
    </w:p>
    <w:p w:rsidR="008D3FD4" w:rsidRPr="008D3FD4" w:rsidRDefault="008D3FD4" w:rsidP="00D1202A">
      <w:pPr>
        <w:jc w:val="both"/>
        <w:rPr>
          <w:rFonts w:ascii="Arial" w:hAnsi="Arial" w:cs="Arial"/>
          <w:color w:val="555555"/>
          <w:lang w:val="en-US"/>
        </w:rPr>
      </w:pPr>
      <w:r>
        <w:rPr>
          <w:rFonts w:ascii="Arial" w:hAnsi="Arial" w:cs="Arial"/>
          <w:color w:val="555555"/>
          <w:lang w:val="en-US"/>
        </w:rPr>
        <w:t>3</w:t>
      </w:r>
      <w:r>
        <w:rPr>
          <w:rFonts w:ascii="Arial" w:hAnsi="Arial" w:cs="Arial"/>
          <w:color w:val="555555"/>
          <w:lang w:val="en-US"/>
        </w:rPr>
        <w:tab/>
      </w:r>
      <w:r w:rsidRPr="008D3FD4">
        <w:rPr>
          <w:rFonts w:ascii="Arial" w:hAnsi="Arial" w:cs="Arial"/>
          <w:color w:val="555555"/>
          <w:lang w:val="en-US"/>
        </w:rPr>
        <w:t xml:space="preserve">IALA’s mission for VTS is to foster the safe, economic and efficient movement of vessels and the protection of the marine environment, </w:t>
      </w:r>
      <w:r w:rsidR="00313CCE">
        <w:rPr>
          <w:rFonts w:ascii="Arial" w:hAnsi="Arial" w:cs="Arial"/>
          <w:color w:val="555555"/>
          <w:lang w:val="en-US"/>
        </w:rPr>
        <w:t xml:space="preserve">through improvement and </w:t>
      </w:r>
      <w:proofErr w:type="spellStart"/>
      <w:r w:rsidR="00313CCE">
        <w:rPr>
          <w:rFonts w:ascii="Arial" w:hAnsi="Arial" w:cs="Arial"/>
          <w:color w:val="555555"/>
          <w:lang w:val="en-US"/>
        </w:rPr>
        <w:lastRenderedPageBreak/>
        <w:t>harmonis</w:t>
      </w:r>
      <w:r w:rsidRPr="008D3FD4">
        <w:rPr>
          <w:rFonts w:ascii="Arial" w:hAnsi="Arial" w:cs="Arial"/>
          <w:color w:val="555555"/>
          <w:lang w:val="en-US"/>
        </w:rPr>
        <w:t>ation</w:t>
      </w:r>
      <w:proofErr w:type="spellEnd"/>
      <w:r w:rsidRPr="008D3FD4">
        <w:rPr>
          <w:rFonts w:ascii="Arial" w:hAnsi="Arial" w:cs="Arial"/>
          <w:color w:val="555555"/>
          <w:lang w:val="en-US"/>
        </w:rPr>
        <w:t xml:space="preserve"> of the delivery of VTS worldwide in a rapidly changing maritime environment, for the benefit of the maritime community and in support of other services.</w:t>
      </w:r>
    </w:p>
    <w:p w:rsidR="008D3FD4" w:rsidRDefault="008D3FD4" w:rsidP="008D3FD4">
      <w:pPr>
        <w:rPr>
          <w:rFonts w:ascii="Arial" w:hAnsi="Arial" w:cs="Arial"/>
          <w:color w:val="555555"/>
          <w:lang w:val="en-US"/>
        </w:rPr>
      </w:pPr>
    </w:p>
    <w:p w:rsidR="008D3FD4" w:rsidRPr="008D3FD4" w:rsidRDefault="008D3FD4" w:rsidP="00D1202A">
      <w:pPr>
        <w:jc w:val="both"/>
        <w:rPr>
          <w:rFonts w:ascii="Arial" w:hAnsi="Arial" w:cs="Arial"/>
          <w:color w:val="555555"/>
          <w:lang w:val="en-US"/>
        </w:rPr>
      </w:pPr>
      <w:r>
        <w:rPr>
          <w:rFonts w:ascii="Arial" w:hAnsi="Arial" w:cs="Arial"/>
          <w:color w:val="555555"/>
          <w:lang w:val="en-US"/>
        </w:rPr>
        <w:t>4</w:t>
      </w:r>
      <w:r>
        <w:rPr>
          <w:rFonts w:ascii="Arial" w:hAnsi="Arial" w:cs="Arial"/>
          <w:color w:val="555555"/>
          <w:lang w:val="en-US"/>
        </w:rPr>
        <w:tab/>
      </w:r>
      <w:r w:rsidRPr="008D3FD4">
        <w:rPr>
          <w:rFonts w:ascii="Arial" w:hAnsi="Arial" w:cs="Arial"/>
          <w:color w:val="555555"/>
          <w:lang w:val="en-US"/>
        </w:rPr>
        <w:t>IALA deals with all aspects of VTS, including the expanding role in support to vessel monitoring for maritime safety, efficiency of navigation, environmental protection and security. IALA aims to contribute to the development and review of VTS related documentation on issues such as the training of VTS personnel, operational procedures, equipment requirements, the impact on the provision of services, responsibilities, the impact of new technologies and the role of VTS in security and global traffic monitoring systems.</w:t>
      </w:r>
    </w:p>
    <w:p w:rsidR="008D3FD4" w:rsidRPr="008D3FD4" w:rsidRDefault="008D3FD4" w:rsidP="008D3FD4">
      <w:pPr>
        <w:rPr>
          <w:rFonts w:ascii="Arial" w:hAnsi="Arial" w:cs="Arial"/>
          <w:color w:val="555555"/>
          <w:lang w:val="en-US"/>
        </w:rPr>
      </w:pPr>
    </w:p>
    <w:p w:rsidR="008D3FD4" w:rsidRPr="008D3FD4" w:rsidRDefault="008D3FD4" w:rsidP="00D1202A">
      <w:pPr>
        <w:jc w:val="both"/>
        <w:rPr>
          <w:rFonts w:ascii="Arial" w:hAnsi="Arial" w:cs="Arial"/>
          <w:color w:val="555555"/>
          <w:lang w:val="en-US"/>
        </w:rPr>
      </w:pPr>
      <w:r>
        <w:rPr>
          <w:rFonts w:ascii="Arial" w:hAnsi="Arial" w:cs="Arial"/>
          <w:color w:val="555555"/>
          <w:lang w:val="en-US"/>
        </w:rPr>
        <w:t>5</w:t>
      </w:r>
      <w:r>
        <w:rPr>
          <w:rFonts w:ascii="Arial" w:hAnsi="Arial" w:cs="Arial"/>
          <w:color w:val="555555"/>
          <w:lang w:val="en-US"/>
        </w:rPr>
        <w:tab/>
      </w:r>
      <w:r w:rsidRPr="008D3FD4">
        <w:rPr>
          <w:rFonts w:ascii="Arial" w:hAnsi="Arial" w:cs="Arial"/>
          <w:color w:val="555555"/>
          <w:lang w:val="en-US"/>
        </w:rPr>
        <w:t>The IALA strategy for the period 2014-2026, adopted by the organization’s General Assembly in 2014, contains a strategic domain identifying the following goals:</w:t>
      </w:r>
    </w:p>
    <w:p w:rsidR="008D3FD4" w:rsidRPr="008D3FD4" w:rsidRDefault="008D3FD4" w:rsidP="008D3FD4">
      <w:pPr>
        <w:rPr>
          <w:rFonts w:ascii="Arial" w:hAnsi="Arial" w:cs="Arial"/>
          <w:color w:val="555555"/>
          <w:lang w:val="en-US"/>
        </w:rPr>
      </w:pPr>
    </w:p>
    <w:p w:rsidR="008D3FD4" w:rsidRPr="008D3FD4" w:rsidRDefault="008D3FD4" w:rsidP="00D1202A">
      <w:pPr>
        <w:numPr>
          <w:ilvl w:val="0"/>
          <w:numId w:val="7"/>
        </w:numPr>
        <w:jc w:val="both"/>
        <w:rPr>
          <w:rFonts w:ascii="Arial" w:hAnsi="Arial" w:cs="Arial"/>
          <w:color w:val="555555"/>
          <w:lang w:val="en-US"/>
        </w:rPr>
      </w:pPr>
      <w:r w:rsidRPr="008D3FD4">
        <w:rPr>
          <w:rFonts w:ascii="Arial" w:hAnsi="Arial" w:cs="Arial"/>
          <w:color w:val="555555"/>
          <w:lang w:val="en-US"/>
        </w:rPr>
        <w:t>G1</w:t>
      </w:r>
      <w:proofErr w:type="gramStart"/>
      <w:r w:rsidRPr="008D3FD4">
        <w:rPr>
          <w:rFonts w:ascii="Arial" w:hAnsi="Arial" w:cs="Arial"/>
          <w:color w:val="555555"/>
          <w:lang w:val="en-US"/>
        </w:rPr>
        <w:t>.-</w:t>
      </w:r>
      <w:proofErr w:type="gramEnd"/>
      <w:r w:rsidRPr="008D3FD4">
        <w:rPr>
          <w:rFonts w:ascii="Arial" w:hAnsi="Arial" w:cs="Arial"/>
          <w:color w:val="555555"/>
          <w:lang w:val="en-US"/>
        </w:rPr>
        <w:t xml:space="preserve"> Ensure that aids to navigation systems and related services, including </w:t>
      </w:r>
      <w:r w:rsidR="00D1202A">
        <w:rPr>
          <w:rFonts w:ascii="Arial" w:hAnsi="Arial" w:cs="Arial"/>
          <w:color w:val="555555"/>
          <w:lang w:val="en-US"/>
        </w:rPr>
        <w:br/>
      </w:r>
      <w:r w:rsidRPr="008D3FD4">
        <w:rPr>
          <w:rFonts w:ascii="Arial" w:hAnsi="Arial" w:cs="Arial"/>
          <w:color w:val="555555"/>
          <w:lang w:val="en-US"/>
        </w:rPr>
        <w:t xml:space="preserve">e-Navigation, Vessel Traffic Services, and emerging technologies, are </w:t>
      </w:r>
      <w:proofErr w:type="spellStart"/>
      <w:r w:rsidRPr="008D3FD4">
        <w:rPr>
          <w:rFonts w:ascii="Arial" w:hAnsi="Arial" w:cs="Arial"/>
          <w:color w:val="555555"/>
          <w:lang w:val="en-US"/>
        </w:rPr>
        <w:t>harmonised</w:t>
      </w:r>
      <w:proofErr w:type="spellEnd"/>
      <w:r w:rsidRPr="008D3FD4">
        <w:rPr>
          <w:rFonts w:ascii="Arial" w:hAnsi="Arial" w:cs="Arial"/>
          <w:color w:val="555555"/>
          <w:lang w:val="en-US"/>
        </w:rPr>
        <w:t xml:space="preserve"> through international cooperation and the provision of standards.</w:t>
      </w:r>
    </w:p>
    <w:p w:rsidR="008D3FD4" w:rsidRPr="008D3FD4" w:rsidRDefault="008D3FD4" w:rsidP="00D1202A">
      <w:pPr>
        <w:ind w:left="720"/>
        <w:jc w:val="both"/>
        <w:rPr>
          <w:rFonts w:ascii="Arial" w:hAnsi="Arial" w:cs="Arial"/>
          <w:color w:val="555555"/>
          <w:lang w:val="en-US"/>
        </w:rPr>
      </w:pPr>
    </w:p>
    <w:p w:rsidR="008D3FD4" w:rsidRPr="008D3FD4" w:rsidRDefault="008D3FD4" w:rsidP="00D1202A">
      <w:pPr>
        <w:numPr>
          <w:ilvl w:val="0"/>
          <w:numId w:val="7"/>
        </w:numPr>
        <w:jc w:val="both"/>
        <w:rPr>
          <w:rFonts w:ascii="Arial" w:hAnsi="Arial" w:cs="Arial"/>
          <w:color w:val="555555"/>
          <w:lang w:val="en-US"/>
        </w:rPr>
      </w:pPr>
      <w:r w:rsidRPr="008D3FD4">
        <w:rPr>
          <w:rFonts w:ascii="Arial" w:hAnsi="Arial" w:cs="Arial"/>
          <w:color w:val="555555"/>
          <w:lang w:val="en-US"/>
        </w:rPr>
        <w:t>G2</w:t>
      </w:r>
      <w:proofErr w:type="gramStart"/>
      <w:r w:rsidRPr="008D3FD4">
        <w:rPr>
          <w:rFonts w:ascii="Arial" w:hAnsi="Arial" w:cs="Arial"/>
          <w:color w:val="555555"/>
          <w:lang w:val="en-US"/>
        </w:rPr>
        <w:t>.-</w:t>
      </w:r>
      <w:proofErr w:type="gramEnd"/>
      <w:r w:rsidRPr="008D3FD4">
        <w:rPr>
          <w:rFonts w:ascii="Arial" w:hAnsi="Arial" w:cs="Arial"/>
          <w:color w:val="555555"/>
          <w:lang w:val="en-US"/>
        </w:rPr>
        <w:t xml:space="preserve"> All coastal states have contributed to an efficient global network of aids to navigation and services for the safety of navigation, through capacity building and the sharing of expertise.</w:t>
      </w:r>
    </w:p>
    <w:p w:rsidR="008D3FD4" w:rsidRPr="008D3FD4" w:rsidRDefault="008D3FD4" w:rsidP="008D3FD4">
      <w:pPr>
        <w:rPr>
          <w:rFonts w:ascii="Arial" w:hAnsi="Arial" w:cs="Arial"/>
          <w:color w:val="555555"/>
          <w:lang w:val="en-US"/>
        </w:rPr>
      </w:pPr>
    </w:p>
    <w:p w:rsidR="008D3FD4" w:rsidRPr="00F757E8" w:rsidRDefault="008D3FD4" w:rsidP="008D3FD4">
      <w:pPr>
        <w:rPr>
          <w:rFonts w:ascii="Arial" w:hAnsi="Arial" w:cs="Arial"/>
          <w:b/>
          <w:color w:val="555555"/>
          <w:lang w:val="en-US"/>
        </w:rPr>
      </w:pPr>
      <w:r w:rsidRPr="00F757E8">
        <w:rPr>
          <w:rFonts w:ascii="Arial" w:hAnsi="Arial" w:cs="Arial"/>
          <w:b/>
          <w:color w:val="555555"/>
          <w:lang w:val="en-US"/>
        </w:rPr>
        <w:t>Considerations</w:t>
      </w:r>
    </w:p>
    <w:p w:rsidR="008D3FD4" w:rsidRPr="008D3FD4" w:rsidRDefault="008D3FD4" w:rsidP="002D6B84">
      <w:pPr>
        <w:spacing w:before="240"/>
        <w:jc w:val="both"/>
        <w:rPr>
          <w:rFonts w:ascii="Arial" w:hAnsi="Arial" w:cs="Arial"/>
          <w:color w:val="555555"/>
          <w:lang w:val="en-US"/>
        </w:rPr>
      </w:pPr>
      <w:r>
        <w:rPr>
          <w:rFonts w:ascii="Arial" w:hAnsi="Arial" w:cs="Arial"/>
          <w:color w:val="555555"/>
          <w:lang w:val="en-US"/>
        </w:rPr>
        <w:t>6</w:t>
      </w:r>
      <w:r>
        <w:rPr>
          <w:rFonts w:ascii="Arial" w:hAnsi="Arial" w:cs="Arial"/>
          <w:color w:val="555555"/>
          <w:lang w:val="en-US"/>
        </w:rPr>
        <w:tab/>
      </w:r>
      <w:r w:rsidRPr="008D3FD4">
        <w:rPr>
          <w:rFonts w:ascii="Arial" w:hAnsi="Arial" w:cs="Arial"/>
          <w:color w:val="555555"/>
          <w:lang w:val="en-US"/>
        </w:rPr>
        <w:t xml:space="preserve">Due to the increasing role of VTS and its capabilities for information management and the international nature of maritime transport where boundaries do not exist anymore, it is foreseen that: </w:t>
      </w:r>
    </w:p>
    <w:p w:rsidR="008D3FD4" w:rsidRPr="008D3FD4" w:rsidRDefault="008D3FD4" w:rsidP="00D1202A">
      <w:pPr>
        <w:ind w:left="1418"/>
        <w:jc w:val="both"/>
        <w:rPr>
          <w:rFonts w:ascii="Arial" w:hAnsi="Arial" w:cs="Arial"/>
          <w:color w:val="555555"/>
          <w:lang w:val="en-US"/>
        </w:rPr>
      </w:pPr>
      <w:r w:rsidRPr="008D3FD4">
        <w:rPr>
          <w:rFonts w:ascii="Arial" w:hAnsi="Arial" w:cs="Arial"/>
          <w:i/>
          <w:color w:val="555555"/>
          <w:lang w:val="en-US"/>
        </w:rPr>
        <w:t>“Future VTS services are likely to be adopted from berth to berth to facilitate safe, efficient and economic movement of vessels and protection of the marine environment in a changing maritime domain.”</w:t>
      </w:r>
    </w:p>
    <w:p w:rsidR="008D3FD4" w:rsidRPr="008D3FD4" w:rsidRDefault="008D3FD4" w:rsidP="008D3FD4">
      <w:pPr>
        <w:rPr>
          <w:rFonts w:ascii="Arial" w:hAnsi="Arial" w:cs="Arial"/>
          <w:b/>
          <w:color w:val="555555"/>
          <w:lang w:val="en-US"/>
        </w:rPr>
      </w:pPr>
    </w:p>
    <w:p w:rsidR="008D3FD4" w:rsidRPr="008D3FD4" w:rsidRDefault="008D3FD4" w:rsidP="00D1202A">
      <w:pPr>
        <w:jc w:val="both"/>
        <w:rPr>
          <w:rFonts w:ascii="Arial" w:hAnsi="Arial" w:cs="Arial"/>
          <w:color w:val="555555"/>
          <w:lang w:val="en-US"/>
        </w:rPr>
      </w:pPr>
      <w:r>
        <w:rPr>
          <w:rFonts w:ascii="Arial" w:hAnsi="Arial" w:cs="Arial"/>
          <w:color w:val="555555"/>
          <w:lang w:val="en-US"/>
        </w:rPr>
        <w:t>7</w:t>
      </w:r>
      <w:r>
        <w:rPr>
          <w:rFonts w:ascii="Arial" w:hAnsi="Arial" w:cs="Arial"/>
          <w:color w:val="555555"/>
          <w:lang w:val="en-US"/>
        </w:rPr>
        <w:tab/>
      </w:r>
      <w:r w:rsidRPr="008D3FD4">
        <w:rPr>
          <w:rFonts w:ascii="Arial" w:hAnsi="Arial" w:cs="Arial"/>
          <w:color w:val="555555"/>
          <w:lang w:val="en-US"/>
        </w:rPr>
        <w:t>Trends, such as globalization and the extensive use of new information and communication technologies have already provided opportunities for enhanced interaction and information sharing, not only between ships and shore-based authorities, but also – with reference to IALA Guideline 1102 on VTS Interaction with Allied and Other Services as approved by IALA Council (December 2013) - with and between many other stakeholders.</w:t>
      </w:r>
    </w:p>
    <w:p w:rsidR="008D3FD4" w:rsidRPr="008D3FD4" w:rsidRDefault="008D3FD4" w:rsidP="00D1202A">
      <w:pPr>
        <w:ind w:left="720"/>
        <w:jc w:val="both"/>
        <w:rPr>
          <w:rFonts w:ascii="Arial" w:hAnsi="Arial" w:cs="Arial"/>
          <w:color w:val="555555"/>
          <w:lang w:val="en-US"/>
        </w:rPr>
      </w:pPr>
    </w:p>
    <w:p w:rsidR="008D3FD4" w:rsidRPr="008D3FD4" w:rsidRDefault="008D3FD4" w:rsidP="00D1202A">
      <w:pPr>
        <w:jc w:val="both"/>
        <w:rPr>
          <w:rFonts w:ascii="Arial" w:hAnsi="Arial" w:cs="Arial"/>
          <w:color w:val="555555"/>
          <w:lang w:val="en-US"/>
        </w:rPr>
      </w:pPr>
      <w:r>
        <w:rPr>
          <w:rFonts w:ascii="Arial" w:hAnsi="Arial" w:cs="Arial"/>
          <w:color w:val="555555"/>
          <w:lang w:val="en-US"/>
        </w:rPr>
        <w:t>8</w:t>
      </w:r>
      <w:r>
        <w:rPr>
          <w:rFonts w:ascii="Arial" w:hAnsi="Arial" w:cs="Arial"/>
          <w:color w:val="555555"/>
          <w:lang w:val="en-US"/>
        </w:rPr>
        <w:tab/>
      </w:r>
      <w:r w:rsidRPr="008D3FD4">
        <w:rPr>
          <w:rFonts w:ascii="Arial" w:hAnsi="Arial" w:cs="Arial"/>
          <w:color w:val="555555"/>
          <w:lang w:val="en-US"/>
        </w:rPr>
        <w:t>The complexity of utilization of the maneuverable space for shipping is growing, threatening the maritime use of the sea. As a result, safe navigation and accessibility in many sea, coastal and port approaching areas worldwide are increasingly under pressure. The need for proactive management of vessel traffic in these areas is rapidly growing, as well as the need for enhancement of the interaction between ships and relevant shore based authorities.</w:t>
      </w:r>
    </w:p>
    <w:p w:rsidR="008D3FD4" w:rsidRPr="008D3FD4" w:rsidRDefault="008D3FD4" w:rsidP="00D1202A">
      <w:pPr>
        <w:jc w:val="both"/>
        <w:rPr>
          <w:rFonts w:ascii="Arial" w:hAnsi="Arial" w:cs="Arial"/>
          <w:color w:val="555555"/>
          <w:lang w:val="en-US"/>
        </w:rPr>
      </w:pPr>
    </w:p>
    <w:p w:rsidR="008D3FD4" w:rsidRPr="008D3FD4" w:rsidRDefault="008D3FD4" w:rsidP="00D1202A">
      <w:pPr>
        <w:jc w:val="both"/>
        <w:rPr>
          <w:rFonts w:ascii="Arial" w:hAnsi="Arial" w:cs="Arial"/>
          <w:color w:val="555555"/>
          <w:lang w:val="en-US"/>
        </w:rPr>
      </w:pPr>
      <w:r>
        <w:rPr>
          <w:rFonts w:ascii="Arial" w:hAnsi="Arial" w:cs="Arial"/>
          <w:color w:val="555555"/>
          <w:lang w:val="en-US"/>
        </w:rPr>
        <w:t>9</w:t>
      </w:r>
      <w:r>
        <w:rPr>
          <w:rFonts w:ascii="Arial" w:hAnsi="Arial" w:cs="Arial"/>
          <w:color w:val="555555"/>
          <w:lang w:val="en-US"/>
        </w:rPr>
        <w:tab/>
      </w:r>
      <w:r w:rsidRPr="008D3FD4">
        <w:rPr>
          <w:rFonts w:ascii="Arial" w:hAnsi="Arial" w:cs="Arial"/>
          <w:color w:val="555555"/>
          <w:lang w:val="en-US"/>
        </w:rPr>
        <w:t>Management of operational space from a shipping perspective by evolving VTS, supported by the capabilities of e-Navigation and its Maritime Service Portfolio developments, and in conjunction with the development of guidelines for Marine Spatial Planning are seen as candidate combinations on how to deal with the challenges ahead, in order to secure future safe and efficient navigation.</w:t>
      </w:r>
    </w:p>
    <w:p w:rsidR="008D3FD4" w:rsidRPr="008D3FD4" w:rsidRDefault="008D3FD4" w:rsidP="008D3FD4">
      <w:pPr>
        <w:ind w:left="720"/>
        <w:rPr>
          <w:rFonts w:ascii="Arial" w:hAnsi="Arial" w:cs="Arial"/>
          <w:color w:val="555555"/>
          <w:lang w:val="en-US"/>
        </w:rPr>
      </w:pPr>
    </w:p>
    <w:p w:rsidR="008D3FD4" w:rsidRPr="008D3FD4" w:rsidRDefault="008D3FD4" w:rsidP="00D1202A">
      <w:pPr>
        <w:jc w:val="both"/>
        <w:rPr>
          <w:rFonts w:ascii="Arial" w:hAnsi="Arial" w:cs="Arial"/>
          <w:color w:val="555555"/>
          <w:lang w:val="en-US"/>
        </w:rPr>
      </w:pPr>
      <w:r>
        <w:rPr>
          <w:rFonts w:ascii="Arial" w:hAnsi="Arial" w:cs="Arial"/>
          <w:color w:val="555555"/>
          <w:lang w:val="en-US"/>
        </w:rPr>
        <w:t>10</w:t>
      </w:r>
      <w:r>
        <w:rPr>
          <w:rFonts w:ascii="Arial" w:hAnsi="Arial" w:cs="Arial"/>
          <w:color w:val="555555"/>
          <w:lang w:val="en-US"/>
        </w:rPr>
        <w:tab/>
      </w:r>
      <w:r w:rsidRPr="008D3FD4">
        <w:rPr>
          <w:rFonts w:ascii="Arial" w:hAnsi="Arial" w:cs="Arial"/>
          <w:color w:val="555555"/>
          <w:lang w:val="en-US"/>
        </w:rPr>
        <w:t xml:space="preserve">These rapidly emerging developments present a risk in terms of differing VTS provisions which may cause confusion to masters of vessels moving from one VTS area to another. This risk is recognized in the current IMO Resolution </w:t>
      </w:r>
      <w:proofErr w:type="gramStart"/>
      <w:r w:rsidRPr="008D3FD4">
        <w:rPr>
          <w:rFonts w:ascii="Arial" w:hAnsi="Arial" w:cs="Arial"/>
          <w:color w:val="555555"/>
          <w:lang w:val="en-US"/>
        </w:rPr>
        <w:t>A.857(</w:t>
      </w:r>
      <w:proofErr w:type="gramEnd"/>
      <w:r w:rsidRPr="008D3FD4">
        <w:rPr>
          <w:rFonts w:ascii="Arial" w:hAnsi="Arial" w:cs="Arial"/>
          <w:color w:val="555555"/>
          <w:lang w:val="en-US"/>
        </w:rPr>
        <w:t>20).</w:t>
      </w:r>
    </w:p>
    <w:p w:rsidR="008D3FD4" w:rsidRPr="008D3FD4" w:rsidRDefault="008D3FD4" w:rsidP="00D1202A">
      <w:pPr>
        <w:ind w:left="720"/>
        <w:jc w:val="both"/>
        <w:rPr>
          <w:rFonts w:ascii="Arial" w:hAnsi="Arial" w:cs="Arial"/>
          <w:color w:val="555555"/>
          <w:lang w:val="en-US"/>
        </w:rPr>
      </w:pPr>
    </w:p>
    <w:p w:rsidR="008D3FD4" w:rsidRPr="008D3FD4" w:rsidRDefault="008D3FD4" w:rsidP="00D1202A">
      <w:pPr>
        <w:jc w:val="both"/>
        <w:rPr>
          <w:rFonts w:ascii="Arial" w:hAnsi="Arial" w:cs="Arial"/>
          <w:color w:val="555555"/>
          <w:lang w:val="en-US"/>
        </w:rPr>
      </w:pPr>
      <w:r>
        <w:rPr>
          <w:rFonts w:ascii="Arial" w:hAnsi="Arial" w:cs="Arial"/>
          <w:color w:val="555555"/>
          <w:lang w:val="en-US"/>
        </w:rPr>
        <w:t>11</w:t>
      </w:r>
      <w:r>
        <w:rPr>
          <w:rFonts w:ascii="Arial" w:hAnsi="Arial" w:cs="Arial"/>
          <w:color w:val="555555"/>
          <w:lang w:val="en-US"/>
        </w:rPr>
        <w:tab/>
      </w:r>
      <w:r w:rsidRPr="008D3FD4">
        <w:rPr>
          <w:rFonts w:ascii="Arial" w:hAnsi="Arial" w:cs="Arial"/>
          <w:color w:val="555555"/>
          <w:lang w:val="en-US"/>
        </w:rPr>
        <w:t xml:space="preserve">Based on the above it is expected that the current tasks and traffic management functionalities of VTS, as reflected in IMO Resolution </w:t>
      </w:r>
      <w:proofErr w:type="gramStart"/>
      <w:r w:rsidRPr="008D3FD4">
        <w:rPr>
          <w:rFonts w:ascii="Arial" w:hAnsi="Arial" w:cs="Arial"/>
          <w:color w:val="555555"/>
          <w:lang w:val="en-US"/>
        </w:rPr>
        <w:t>A.857(</w:t>
      </w:r>
      <w:proofErr w:type="gramEnd"/>
      <w:r w:rsidRPr="008D3FD4">
        <w:rPr>
          <w:rFonts w:ascii="Arial" w:hAnsi="Arial" w:cs="Arial"/>
          <w:color w:val="555555"/>
          <w:lang w:val="en-US"/>
        </w:rPr>
        <w:t xml:space="preserve">20) and in various IALA </w:t>
      </w:r>
      <w:r w:rsidRPr="008D3FD4">
        <w:rPr>
          <w:rFonts w:ascii="Arial" w:hAnsi="Arial" w:cs="Arial"/>
          <w:color w:val="555555"/>
          <w:lang w:val="en-US"/>
        </w:rPr>
        <w:lastRenderedPageBreak/>
        <w:t xml:space="preserve">Recommendations and Guidelines, will extend and be executed in an increasingly innovative manner responding to changing user needs and public expectations. </w:t>
      </w:r>
    </w:p>
    <w:p w:rsidR="008D3FD4" w:rsidRPr="008D3FD4" w:rsidRDefault="008D3FD4" w:rsidP="00D1202A">
      <w:pPr>
        <w:ind w:left="720"/>
        <w:jc w:val="both"/>
        <w:rPr>
          <w:rFonts w:ascii="Arial" w:hAnsi="Arial" w:cs="Arial"/>
          <w:color w:val="555555"/>
          <w:lang w:val="en-US"/>
        </w:rPr>
      </w:pPr>
    </w:p>
    <w:p w:rsidR="008D3FD4" w:rsidRPr="008D3FD4" w:rsidRDefault="008D3FD4" w:rsidP="00D1202A">
      <w:pPr>
        <w:jc w:val="both"/>
        <w:rPr>
          <w:rFonts w:ascii="Arial" w:hAnsi="Arial" w:cs="Arial"/>
          <w:color w:val="555555"/>
          <w:lang w:val="en-US"/>
        </w:rPr>
      </w:pPr>
      <w:r>
        <w:rPr>
          <w:rFonts w:ascii="Arial" w:hAnsi="Arial" w:cs="Arial"/>
          <w:color w:val="555555"/>
          <w:lang w:val="en-US"/>
        </w:rPr>
        <w:t>12</w:t>
      </w:r>
      <w:r>
        <w:rPr>
          <w:rFonts w:ascii="Arial" w:hAnsi="Arial" w:cs="Arial"/>
          <w:color w:val="555555"/>
          <w:lang w:val="en-US"/>
        </w:rPr>
        <w:tab/>
      </w:r>
      <w:r w:rsidRPr="008D3FD4">
        <w:rPr>
          <w:rFonts w:ascii="Arial" w:hAnsi="Arial" w:cs="Arial"/>
          <w:color w:val="555555"/>
          <w:lang w:val="en-US"/>
        </w:rPr>
        <w:t>The worldwide harmonized provision of present and future Vessel Traffic Services, their procedures and usage of technologies shall be the ultimate aim, but focus should be kept on two basic principles:</w:t>
      </w:r>
    </w:p>
    <w:p w:rsidR="008D3FD4" w:rsidRPr="008D3FD4" w:rsidRDefault="008D3FD4" w:rsidP="00D1202A">
      <w:pPr>
        <w:pStyle w:val="ListParagraph"/>
        <w:numPr>
          <w:ilvl w:val="0"/>
          <w:numId w:val="9"/>
        </w:numPr>
        <w:spacing w:before="120"/>
        <w:ind w:left="1418" w:hanging="567"/>
        <w:jc w:val="both"/>
        <w:rPr>
          <w:rFonts w:ascii="Arial" w:hAnsi="Arial" w:cs="Arial"/>
          <w:color w:val="555555"/>
          <w:lang w:val="en-US"/>
        </w:rPr>
      </w:pPr>
      <w:r w:rsidRPr="008D3FD4">
        <w:rPr>
          <w:rFonts w:ascii="Arial" w:hAnsi="Arial" w:cs="Arial"/>
          <w:color w:val="555555"/>
          <w:lang w:val="en-US"/>
        </w:rPr>
        <w:t>the recognition that on a worldwide, regional, national or local level circumstances may differ due to for instance geographical characteristics, traffic density and diversity, accessibility, environmental conditions and the position and role of VTS in the maritime domain in a certain area;</w:t>
      </w:r>
    </w:p>
    <w:p w:rsidR="008D3FD4" w:rsidRPr="008D3FD4" w:rsidRDefault="008D3FD4" w:rsidP="00D1202A">
      <w:pPr>
        <w:ind w:left="1418" w:hanging="567"/>
        <w:jc w:val="both"/>
        <w:rPr>
          <w:rFonts w:ascii="Arial" w:hAnsi="Arial" w:cs="Arial"/>
          <w:color w:val="555555"/>
          <w:lang w:val="en-US"/>
        </w:rPr>
      </w:pPr>
    </w:p>
    <w:p w:rsidR="008D3FD4" w:rsidRPr="008D3FD4" w:rsidRDefault="008D3FD4" w:rsidP="00D1202A">
      <w:pPr>
        <w:pStyle w:val="ListParagraph"/>
        <w:numPr>
          <w:ilvl w:val="0"/>
          <w:numId w:val="9"/>
        </w:numPr>
        <w:ind w:left="1418" w:hanging="567"/>
        <w:jc w:val="both"/>
        <w:rPr>
          <w:rFonts w:ascii="Arial" w:hAnsi="Arial" w:cs="Arial"/>
          <w:color w:val="555555"/>
          <w:lang w:val="en-US"/>
        </w:rPr>
      </w:pPr>
      <w:proofErr w:type="gramStart"/>
      <w:r w:rsidRPr="008D3FD4">
        <w:rPr>
          <w:rFonts w:ascii="Arial" w:hAnsi="Arial" w:cs="Arial"/>
          <w:color w:val="555555"/>
          <w:lang w:val="en-US"/>
        </w:rPr>
        <w:t>the</w:t>
      </w:r>
      <w:proofErr w:type="gramEnd"/>
      <w:r w:rsidRPr="008D3FD4">
        <w:rPr>
          <w:rFonts w:ascii="Arial" w:hAnsi="Arial" w:cs="Arial"/>
          <w:color w:val="555555"/>
          <w:lang w:val="en-US"/>
        </w:rPr>
        <w:t xml:space="preserve"> determination and decision of which services, and on what level they shall be provided to shipping and other stakeholders in their areas of responsibility, will remain assigned to the relevant national, regional or local authorities.</w:t>
      </w:r>
    </w:p>
    <w:p w:rsidR="008D3FD4" w:rsidRPr="008D3FD4" w:rsidRDefault="008D3FD4" w:rsidP="008D3FD4">
      <w:pPr>
        <w:rPr>
          <w:rFonts w:ascii="Arial" w:hAnsi="Arial" w:cs="Arial"/>
          <w:b/>
          <w:color w:val="555555"/>
          <w:lang w:val="en-US"/>
        </w:rPr>
      </w:pPr>
    </w:p>
    <w:p w:rsidR="008D3FD4" w:rsidRPr="008D3FD4" w:rsidRDefault="008D3FD4" w:rsidP="008D3FD4">
      <w:pPr>
        <w:rPr>
          <w:rFonts w:ascii="Arial" w:hAnsi="Arial" w:cs="Arial"/>
          <w:b/>
          <w:color w:val="555555"/>
          <w:lang w:val="en-US"/>
        </w:rPr>
      </w:pPr>
      <w:r w:rsidRPr="008D3FD4">
        <w:rPr>
          <w:rFonts w:ascii="Arial" w:hAnsi="Arial" w:cs="Arial"/>
          <w:b/>
          <w:color w:val="555555"/>
          <w:lang w:val="en-US"/>
        </w:rPr>
        <w:t xml:space="preserve">IALA strategy for the delivery of VTS in a rapidly changing maritime </w:t>
      </w:r>
      <w:r w:rsidR="00EB39C7">
        <w:rPr>
          <w:rFonts w:ascii="Arial" w:hAnsi="Arial" w:cs="Arial"/>
          <w:b/>
          <w:color w:val="555555"/>
          <w:lang w:val="en-US"/>
        </w:rPr>
        <w:t>domain</w:t>
      </w:r>
      <w:bookmarkStart w:id="0" w:name="_GoBack"/>
      <w:bookmarkEnd w:id="0"/>
    </w:p>
    <w:p w:rsidR="008D3FD4" w:rsidRPr="008D3FD4" w:rsidRDefault="008D3FD4" w:rsidP="002D6B84">
      <w:pPr>
        <w:spacing w:before="240"/>
        <w:jc w:val="both"/>
        <w:rPr>
          <w:rFonts w:ascii="Arial" w:hAnsi="Arial" w:cs="Arial"/>
          <w:color w:val="555555"/>
          <w:lang w:val="en-US"/>
        </w:rPr>
      </w:pPr>
      <w:r>
        <w:rPr>
          <w:rFonts w:ascii="Arial" w:hAnsi="Arial" w:cs="Arial"/>
          <w:color w:val="555555"/>
          <w:lang w:val="en-US"/>
        </w:rPr>
        <w:t>13</w:t>
      </w:r>
      <w:r>
        <w:rPr>
          <w:rFonts w:ascii="Arial" w:hAnsi="Arial" w:cs="Arial"/>
          <w:color w:val="555555"/>
          <w:lang w:val="en-US"/>
        </w:rPr>
        <w:tab/>
      </w:r>
      <w:r w:rsidRPr="008D3FD4">
        <w:rPr>
          <w:rFonts w:ascii="Arial" w:hAnsi="Arial" w:cs="Arial"/>
          <w:color w:val="555555"/>
          <w:lang w:val="en-US"/>
        </w:rPr>
        <w:t xml:space="preserve">IALA, taking into account the organization’s mandate and relevant </w:t>
      </w:r>
      <w:r w:rsidR="005B223A" w:rsidRPr="008D3FD4">
        <w:rPr>
          <w:rFonts w:ascii="Arial" w:hAnsi="Arial" w:cs="Arial"/>
          <w:color w:val="555555"/>
          <w:lang w:val="en-US"/>
        </w:rPr>
        <w:t>activities</w:t>
      </w:r>
      <w:r w:rsidR="005B223A">
        <w:rPr>
          <w:rFonts w:ascii="Arial" w:hAnsi="Arial" w:cs="Arial"/>
          <w:color w:val="555555"/>
          <w:lang w:val="en-US"/>
        </w:rPr>
        <w:t>,</w:t>
      </w:r>
      <w:r w:rsidRPr="008D3FD4">
        <w:rPr>
          <w:rFonts w:ascii="Arial" w:hAnsi="Arial" w:cs="Arial"/>
          <w:color w:val="555555"/>
          <w:lang w:val="en-US"/>
        </w:rPr>
        <w:t xml:space="preserve"> developed a new strategy for the delivery of VTS in a rapidly changing maritime domain (as approved by the IALA Council, May 2015) with the following goals:</w:t>
      </w:r>
    </w:p>
    <w:p w:rsidR="008D3FD4" w:rsidRPr="008D3FD4" w:rsidRDefault="008D3FD4" w:rsidP="008D3FD4">
      <w:pPr>
        <w:rPr>
          <w:rFonts w:ascii="Arial" w:hAnsi="Arial" w:cs="Arial"/>
          <w:b/>
          <w:color w:val="555555"/>
          <w:lang w:val="en-US"/>
        </w:rPr>
      </w:pPr>
    </w:p>
    <w:p w:rsidR="008D3FD4" w:rsidRPr="008D3FD4" w:rsidRDefault="008D3FD4" w:rsidP="00D1202A">
      <w:pPr>
        <w:numPr>
          <w:ilvl w:val="0"/>
          <w:numId w:val="10"/>
        </w:numPr>
        <w:autoSpaceDE w:val="0"/>
        <w:autoSpaceDN w:val="0"/>
        <w:adjustRightInd w:val="0"/>
        <w:ind w:left="1276" w:hanging="425"/>
        <w:jc w:val="both"/>
        <w:rPr>
          <w:rFonts w:ascii="Arial" w:hAnsi="Arial" w:cs="Arial"/>
          <w:color w:val="555555"/>
          <w:lang w:val="en-US"/>
        </w:rPr>
      </w:pPr>
      <w:r w:rsidRPr="008D3FD4">
        <w:rPr>
          <w:rFonts w:ascii="Arial" w:hAnsi="Arial" w:cs="Arial"/>
          <w:color w:val="555555"/>
          <w:lang w:val="en-US"/>
        </w:rPr>
        <w:t>G1.</w:t>
      </w:r>
      <w:r w:rsidRPr="008D3FD4">
        <w:rPr>
          <w:rFonts w:ascii="Trebuchet MS" w:hAnsi="Trebuchet MS" w:cs="Arial"/>
          <w:color w:val="555555"/>
          <w:lang w:val="en-US"/>
        </w:rPr>
        <w:t>‐</w:t>
      </w:r>
      <w:r w:rsidRPr="008D3FD4">
        <w:rPr>
          <w:rFonts w:ascii="Arial" w:hAnsi="Arial" w:cs="Arial"/>
          <w:color w:val="555555"/>
          <w:lang w:val="en-US"/>
        </w:rPr>
        <w:t xml:space="preserve"> Worldwide harmonized use of the potential of VTS to meet new user</w:t>
      </w:r>
      <w:r w:rsidRPr="008D3FD4">
        <w:rPr>
          <w:rFonts w:ascii="Trebuchet MS" w:hAnsi="Trebuchet MS" w:cs="Arial"/>
          <w:color w:val="555555"/>
          <w:lang w:val="en-US"/>
        </w:rPr>
        <w:t>‐</w:t>
      </w:r>
      <w:r w:rsidRPr="008D3FD4">
        <w:rPr>
          <w:rFonts w:ascii="Arial" w:hAnsi="Arial" w:cs="Arial"/>
          <w:color w:val="555555"/>
          <w:lang w:val="en-US"/>
        </w:rPr>
        <w:t>driven challenges and developments in the maritime domain, e.g. the concept of a Sustainable Maritime Transportation System</w:t>
      </w:r>
    </w:p>
    <w:p w:rsidR="008D3FD4" w:rsidRPr="008D3FD4" w:rsidRDefault="008D3FD4" w:rsidP="00D1202A">
      <w:pPr>
        <w:autoSpaceDE w:val="0"/>
        <w:autoSpaceDN w:val="0"/>
        <w:adjustRightInd w:val="0"/>
        <w:ind w:left="1276" w:hanging="425"/>
        <w:jc w:val="both"/>
        <w:rPr>
          <w:rFonts w:ascii="Arial" w:hAnsi="Arial" w:cs="Arial"/>
          <w:color w:val="555555"/>
          <w:lang w:val="en-US"/>
        </w:rPr>
      </w:pPr>
    </w:p>
    <w:p w:rsidR="008D3FD4" w:rsidRPr="008D3FD4" w:rsidRDefault="008D3FD4" w:rsidP="00D1202A">
      <w:pPr>
        <w:numPr>
          <w:ilvl w:val="0"/>
          <w:numId w:val="10"/>
        </w:numPr>
        <w:autoSpaceDE w:val="0"/>
        <w:autoSpaceDN w:val="0"/>
        <w:adjustRightInd w:val="0"/>
        <w:ind w:left="1276" w:hanging="425"/>
        <w:jc w:val="both"/>
        <w:rPr>
          <w:rFonts w:ascii="Arial" w:hAnsi="Arial" w:cs="Arial"/>
          <w:color w:val="555555"/>
          <w:lang w:val="en-US"/>
        </w:rPr>
      </w:pPr>
      <w:r w:rsidRPr="008D3FD4">
        <w:rPr>
          <w:rFonts w:ascii="Arial" w:hAnsi="Arial" w:cs="Arial"/>
          <w:color w:val="555555"/>
          <w:lang w:val="en-US"/>
        </w:rPr>
        <w:t>G2.</w:t>
      </w:r>
      <w:r w:rsidRPr="008D3FD4">
        <w:rPr>
          <w:rFonts w:ascii="Trebuchet MS" w:hAnsi="Trebuchet MS" w:cs="Arial"/>
          <w:color w:val="555555"/>
          <w:lang w:val="en-US"/>
        </w:rPr>
        <w:t>‐</w:t>
      </w:r>
      <w:r w:rsidRPr="008D3FD4">
        <w:rPr>
          <w:rFonts w:ascii="Arial" w:hAnsi="Arial" w:cs="Arial"/>
          <w:color w:val="555555"/>
          <w:lang w:val="en-US"/>
        </w:rPr>
        <w:t xml:space="preserve"> Worldwide harmonized, coordinated and seamless delivery of VTS</w:t>
      </w:r>
    </w:p>
    <w:p w:rsidR="008D3FD4" w:rsidRPr="008D3FD4" w:rsidRDefault="008D3FD4" w:rsidP="00D1202A">
      <w:pPr>
        <w:autoSpaceDE w:val="0"/>
        <w:autoSpaceDN w:val="0"/>
        <w:adjustRightInd w:val="0"/>
        <w:ind w:left="1276" w:hanging="425"/>
        <w:jc w:val="both"/>
        <w:rPr>
          <w:rFonts w:ascii="Arial" w:hAnsi="Arial" w:cs="Arial"/>
          <w:color w:val="555555"/>
          <w:lang w:val="en-US"/>
        </w:rPr>
      </w:pPr>
    </w:p>
    <w:p w:rsidR="008D3FD4" w:rsidRPr="008D3FD4" w:rsidRDefault="008D3FD4" w:rsidP="00D1202A">
      <w:pPr>
        <w:numPr>
          <w:ilvl w:val="0"/>
          <w:numId w:val="10"/>
        </w:numPr>
        <w:autoSpaceDE w:val="0"/>
        <w:autoSpaceDN w:val="0"/>
        <w:adjustRightInd w:val="0"/>
        <w:ind w:left="1276" w:hanging="425"/>
        <w:jc w:val="both"/>
        <w:rPr>
          <w:rFonts w:ascii="Arial" w:hAnsi="Arial" w:cs="Arial"/>
          <w:color w:val="555555"/>
          <w:lang w:val="en-US"/>
        </w:rPr>
      </w:pPr>
      <w:r w:rsidRPr="008D3FD4">
        <w:rPr>
          <w:rFonts w:ascii="Arial" w:hAnsi="Arial" w:cs="Arial"/>
          <w:color w:val="555555"/>
          <w:lang w:val="en-US"/>
        </w:rPr>
        <w:t>G3.</w:t>
      </w:r>
      <w:r w:rsidRPr="008D3FD4">
        <w:rPr>
          <w:rFonts w:ascii="Trebuchet MS" w:hAnsi="Trebuchet MS" w:cs="Arial"/>
          <w:color w:val="555555"/>
          <w:lang w:val="en-US"/>
        </w:rPr>
        <w:t>‐</w:t>
      </w:r>
      <w:r w:rsidRPr="008D3FD4">
        <w:rPr>
          <w:rFonts w:ascii="Arial" w:hAnsi="Arial" w:cs="Arial"/>
          <w:color w:val="555555"/>
          <w:lang w:val="en-US"/>
        </w:rPr>
        <w:t xml:space="preserve"> Harmonized technology framework, supportive to VTS, in accordance with international standards and developments</w:t>
      </w:r>
    </w:p>
    <w:p w:rsidR="008D3FD4" w:rsidRPr="008D3FD4" w:rsidRDefault="008D3FD4" w:rsidP="00D1202A">
      <w:pPr>
        <w:autoSpaceDE w:val="0"/>
        <w:autoSpaceDN w:val="0"/>
        <w:adjustRightInd w:val="0"/>
        <w:ind w:left="1276" w:hanging="425"/>
        <w:jc w:val="both"/>
        <w:rPr>
          <w:rFonts w:ascii="Arial" w:hAnsi="Arial" w:cs="Arial"/>
          <w:color w:val="555555"/>
          <w:lang w:val="en-US"/>
        </w:rPr>
      </w:pPr>
    </w:p>
    <w:p w:rsidR="008D3FD4" w:rsidRPr="008D3FD4" w:rsidRDefault="008D3FD4" w:rsidP="00D1202A">
      <w:pPr>
        <w:numPr>
          <w:ilvl w:val="0"/>
          <w:numId w:val="10"/>
        </w:numPr>
        <w:autoSpaceDE w:val="0"/>
        <w:autoSpaceDN w:val="0"/>
        <w:adjustRightInd w:val="0"/>
        <w:ind w:left="1276" w:hanging="425"/>
        <w:jc w:val="both"/>
        <w:rPr>
          <w:rFonts w:ascii="Arial" w:hAnsi="Arial" w:cs="Arial"/>
          <w:color w:val="555555"/>
          <w:lang w:val="en-US"/>
        </w:rPr>
      </w:pPr>
      <w:r w:rsidRPr="008D3FD4">
        <w:rPr>
          <w:rFonts w:ascii="Arial" w:hAnsi="Arial" w:cs="Arial"/>
          <w:color w:val="555555"/>
          <w:lang w:val="en-US"/>
        </w:rPr>
        <w:t>G4.</w:t>
      </w:r>
      <w:r w:rsidRPr="008D3FD4">
        <w:rPr>
          <w:rFonts w:ascii="Trebuchet MS" w:hAnsi="Trebuchet MS" w:cs="Arial"/>
          <w:color w:val="555555"/>
          <w:lang w:val="en-US"/>
        </w:rPr>
        <w:t>‐</w:t>
      </w:r>
      <w:r w:rsidRPr="008D3FD4">
        <w:rPr>
          <w:rFonts w:ascii="Arial" w:hAnsi="Arial" w:cs="Arial"/>
          <w:color w:val="555555"/>
          <w:lang w:val="en-US"/>
        </w:rPr>
        <w:t xml:space="preserve"> Harmonized training and certification of VTS personnel</w:t>
      </w:r>
    </w:p>
    <w:p w:rsidR="008D3FD4" w:rsidRPr="008D3FD4" w:rsidRDefault="008D3FD4" w:rsidP="008D3FD4">
      <w:pPr>
        <w:autoSpaceDE w:val="0"/>
        <w:autoSpaceDN w:val="0"/>
        <w:adjustRightInd w:val="0"/>
        <w:ind w:right="-91"/>
        <w:jc w:val="center"/>
        <w:rPr>
          <w:rFonts w:ascii="Arial" w:hAnsi="Arial" w:cs="Arial"/>
          <w:color w:val="000000"/>
          <w:sz w:val="24"/>
          <w:szCs w:val="24"/>
          <w:lang w:val="en-GB"/>
        </w:rPr>
      </w:pPr>
    </w:p>
    <w:p w:rsidR="008D3FD4" w:rsidRPr="008D3FD4" w:rsidRDefault="00B11B97" w:rsidP="00D1202A">
      <w:pPr>
        <w:autoSpaceDE w:val="0"/>
        <w:autoSpaceDN w:val="0"/>
        <w:adjustRightInd w:val="0"/>
        <w:ind w:right="-91"/>
        <w:jc w:val="both"/>
        <w:rPr>
          <w:rFonts w:ascii="Arial" w:hAnsi="Arial" w:cs="Arial"/>
          <w:color w:val="555555"/>
          <w:lang w:val="en-US"/>
        </w:rPr>
      </w:pPr>
      <w:r>
        <w:rPr>
          <w:rFonts w:ascii="Arial" w:hAnsi="Arial" w:cs="Arial"/>
          <w:color w:val="555555"/>
          <w:lang w:val="en-US"/>
        </w:rPr>
        <w:t>14</w:t>
      </w:r>
      <w:r>
        <w:rPr>
          <w:rFonts w:ascii="Arial" w:hAnsi="Arial" w:cs="Arial"/>
          <w:color w:val="555555"/>
          <w:lang w:val="en-US"/>
        </w:rPr>
        <w:tab/>
      </w:r>
      <w:r w:rsidR="008D3FD4" w:rsidRPr="008D3FD4">
        <w:rPr>
          <w:rFonts w:ascii="Arial" w:hAnsi="Arial" w:cs="Arial"/>
          <w:color w:val="555555"/>
          <w:lang w:val="en-US"/>
        </w:rPr>
        <w:t xml:space="preserve">For the development of these goals IALA has accomplished the following activities in order to identify possible implications for IMO Resolution </w:t>
      </w:r>
      <w:proofErr w:type="gramStart"/>
      <w:r w:rsidR="008D3FD4" w:rsidRPr="008D3FD4">
        <w:rPr>
          <w:rFonts w:ascii="Arial" w:hAnsi="Arial" w:cs="Arial"/>
          <w:color w:val="555555"/>
          <w:lang w:val="en-US"/>
        </w:rPr>
        <w:t>A.857(</w:t>
      </w:r>
      <w:proofErr w:type="gramEnd"/>
      <w:r w:rsidR="008D3FD4" w:rsidRPr="008D3FD4">
        <w:rPr>
          <w:rFonts w:ascii="Arial" w:hAnsi="Arial" w:cs="Arial"/>
          <w:color w:val="555555"/>
          <w:lang w:val="en-US"/>
        </w:rPr>
        <w:t>20), Guidelines for Vessel Traffic Services, including assessing and identifying:</w:t>
      </w:r>
    </w:p>
    <w:p w:rsidR="008D3FD4" w:rsidRPr="008D3FD4" w:rsidRDefault="008D3FD4" w:rsidP="00D1202A">
      <w:pPr>
        <w:numPr>
          <w:ilvl w:val="0"/>
          <w:numId w:val="12"/>
        </w:numPr>
        <w:autoSpaceDE w:val="0"/>
        <w:autoSpaceDN w:val="0"/>
        <w:adjustRightInd w:val="0"/>
        <w:spacing w:before="120"/>
        <w:ind w:left="1276" w:right="-91" w:hanging="425"/>
        <w:jc w:val="both"/>
        <w:rPr>
          <w:rFonts w:ascii="Arial" w:hAnsi="Arial" w:cs="Arial"/>
          <w:color w:val="555555"/>
          <w:lang w:val="en-US"/>
        </w:rPr>
      </w:pPr>
      <w:r w:rsidRPr="008D3FD4">
        <w:rPr>
          <w:rFonts w:ascii="Arial" w:hAnsi="Arial" w:cs="Arial"/>
          <w:color w:val="555555"/>
          <w:lang w:val="en-US"/>
        </w:rPr>
        <w:t>the strengths and weaknesses of IMO Resolution A.857(20) in setting the framework for the delivery of VTS</w:t>
      </w:r>
    </w:p>
    <w:p w:rsidR="008D3FD4" w:rsidRPr="008D3FD4" w:rsidRDefault="008D3FD4" w:rsidP="00D1202A">
      <w:pPr>
        <w:numPr>
          <w:ilvl w:val="0"/>
          <w:numId w:val="12"/>
        </w:numPr>
        <w:autoSpaceDE w:val="0"/>
        <w:autoSpaceDN w:val="0"/>
        <w:adjustRightInd w:val="0"/>
        <w:spacing w:before="120"/>
        <w:ind w:left="1276" w:right="-91" w:hanging="425"/>
        <w:jc w:val="both"/>
        <w:rPr>
          <w:rFonts w:ascii="Arial" w:hAnsi="Arial" w:cs="Arial"/>
          <w:color w:val="555555"/>
          <w:lang w:val="en-US"/>
        </w:rPr>
      </w:pPr>
      <w:r w:rsidRPr="008D3FD4">
        <w:rPr>
          <w:rFonts w:ascii="Arial" w:hAnsi="Arial" w:cs="Arial"/>
          <w:color w:val="555555"/>
          <w:lang w:val="en-US"/>
        </w:rPr>
        <w:t>developments in VTS since the current IMO Resolution A.857(20) came into force (1997)</w:t>
      </w:r>
    </w:p>
    <w:p w:rsidR="008D3FD4" w:rsidRPr="008D3FD4" w:rsidRDefault="008D3FD4" w:rsidP="00D1202A">
      <w:pPr>
        <w:numPr>
          <w:ilvl w:val="0"/>
          <w:numId w:val="12"/>
        </w:numPr>
        <w:autoSpaceDE w:val="0"/>
        <w:autoSpaceDN w:val="0"/>
        <w:adjustRightInd w:val="0"/>
        <w:spacing w:before="120"/>
        <w:ind w:left="1276" w:right="-91" w:hanging="425"/>
        <w:jc w:val="both"/>
        <w:rPr>
          <w:color w:val="555555"/>
          <w:lang w:val="en-US"/>
        </w:rPr>
      </w:pPr>
      <w:r w:rsidRPr="008D3FD4">
        <w:rPr>
          <w:rFonts w:ascii="Arial" w:hAnsi="Arial" w:cs="Arial"/>
          <w:color w:val="555555"/>
          <w:lang w:val="en-US"/>
        </w:rPr>
        <w:t>emerging trends that may be anticipated over the next 10-20 years</w:t>
      </w:r>
    </w:p>
    <w:p w:rsidR="008D3FD4" w:rsidRPr="008D3FD4" w:rsidRDefault="008D3FD4" w:rsidP="00D1202A">
      <w:pPr>
        <w:numPr>
          <w:ilvl w:val="0"/>
          <w:numId w:val="12"/>
        </w:numPr>
        <w:autoSpaceDE w:val="0"/>
        <w:autoSpaceDN w:val="0"/>
        <w:adjustRightInd w:val="0"/>
        <w:spacing w:before="120"/>
        <w:ind w:left="1276" w:right="-91" w:hanging="425"/>
        <w:jc w:val="both"/>
        <w:rPr>
          <w:rFonts w:ascii="Arial" w:hAnsi="Arial" w:cs="Arial"/>
          <w:color w:val="555555"/>
          <w:lang w:val="en-US"/>
        </w:rPr>
      </w:pPr>
      <w:proofErr w:type="gramStart"/>
      <w:r w:rsidRPr="008D3FD4">
        <w:rPr>
          <w:rFonts w:ascii="Arial" w:hAnsi="Arial" w:cs="Arial"/>
          <w:color w:val="555555"/>
          <w:lang w:val="en-US"/>
        </w:rPr>
        <w:t>possible</w:t>
      </w:r>
      <w:proofErr w:type="gramEnd"/>
      <w:r w:rsidRPr="008D3FD4">
        <w:rPr>
          <w:rFonts w:ascii="Arial" w:hAnsi="Arial" w:cs="Arial"/>
          <w:color w:val="555555"/>
          <w:lang w:val="en-US"/>
        </w:rPr>
        <w:t xml:space="preserve"> limitations to addressing the emerging needs and developments for VTS within the existing provisions of IMO Resolution A.857(20).</w:t>
      </w:r>
    </w:p>
    <w:p w:rsidR="008D3FD4" w:rsidRDefault="008D3FD4" w:rsidP="00D1202A">
      <w:pPr>
        <w:jc w:val="both"/>
        <w:rPr>
          <w:color w:val="555555"/>
          <w:lang w:val="en-US"/>
        </w:rPr>
      </w:pPr>
    </w:p>
    <w:p w:rsidR="008D3FD4" w:rsidRPr="008D3FD4" w:rsidRDefault="00B11B97" w:rsidP="00D1202A">
      <w:pPr>
        <w:jc w:val="both"/>
        <w:rPr>
          <w:rFonts w:ascii="Arial" w:hAnsi="Arial" w:cs="Arial"/>
          <w:color w:val="555555"/>
          <w:lang w:val="en-US"/>
        </w:rPr>
      </w:pPr>
      <w:r>
        <w:rPr>
          <w:rFonts w:ascii="Arial" w:hAnsi="Arial" w:cs="Arial"/>
          <w:color w:val="555555"/>
          <w:lang w:val="en-US"/>
        </w:rPr>
        <w:t>15</w:t>
      </w:r>
      <w:r>
        <w:rPr>
          <w:rFonts w:ascii="Arial" w:hAnsi="Arial" w:cs="Arial"/>
          <w:color w:val="555555"/>
          <w:lang w:val="en-US"/>
        </w:rPr>
        <w:tab/>
      </w:r>
      <w:r w:rsidR="008D3FD4" w:rsidRPr="008D3FD4">
        <w:rPr>
          <w:rFonts w:ascii="Arial" w:hAnsi="Arial" w:cs="Arial"/>
          <w:color w:val="555555"/>
          <w:lang w:val="en-US"/>
        </w:rPr>
        <w:t>As a consequence of the above IALA incorporated a number of strategic tasks into its current Work Programme 2014-2018 and beyond. These tasks are connected to relevant operational, technical and training domains.</w:t>
      </w:r>
    </w:p>
    <w:p w:rsidR="008D3FD4" w:rsidRPr="008D3FD4" w:rsidRDefault="008D3FD4" w:rsidP="00D1202A">
      <w:pPr>
        <w:jc w:val="both"/>
        <w:rPr>
          <w:rFonts w:ascii="Arial" w:hAnsi="Arial" w:cs="Arial"/>
          <w:b/>
          <w:color w:val="555555"/>
          <w:lang w:val="en-US"/>
        </w:rPr>
      </w:pPr>
    </w:p>
    <w:p w:rsidR="008D3FD4" w:rsidRPr="008D3FD4" w:rsidRDefault="00B11B97" w:rsidP="00D1202A">
      <w:pPr>
        <w:jc w:val="both"/>
        <w:rPr>
          <w:rFonts w:ascii="Arial" w:hAnsi="Arial" w:cs="Arial"/>
          <w:color w:val="555555"/>
          <w:lang w:val="en-US"/>
        </w:rPr>
      </w:pPr>
      <w:r>
        <w:rPr>
          <w:rFonts w:ascii="Arial" w:hAnsi="Arial" w:cs="Arial"/>
          <w:color w:val="555555"/>
          <w:lang w:val="en-US"/>
        </w:rPr>
        <w:t>16</w:t>
      </w:r>
      <w:r>
        <w:rPr>
          <w:rFonts w:ascii="Arial" w:hAnsi="Arial" w:cs="Arial"/>
          <w:color w:val="555555"/>
          <w:lang w:val="en-US"/>
        </w:rPr>
        <w:tab/>
      </w:r>
      <w:r w:rsidR="008D3FD4" w:rsidRPr="008D3FD4">
        <w:rPr>
          <w:rFonts w:ascii="Arial" w:hAnsi="Arial" w:cs="Arial"/>
          <w:color w:val="555555"/>
          <w:lang w:val="en-US"/>
        </w:rPr>
        <w:t xml:space="preserve">As IALA further progresses these tasks it is anticipated that some IMO member states, co-sponsored by IALA, may consider a submission to </w:t>
      </w:r>
      <w:r w:rsidR="002D6B84">
        <w:rPr>
          <w:rFonts w:ascii="Arial" w:hAnsi="Arial" w:cs="Arial"/>
          <w:color w:val="555555"/>
          <w:lang w:val="en-US"/>
        </w:rPr>
        <w:t>the</w:t>
      </w:r>
      <w:r w:rsidR="008D3FD4" w:rsidRPr="008D3FD4">
        <w:rPr>
          <w:rFonts w:ascii="Arial" w:hAnsi="Arial" w:cs="Arial"/>
          <w:color w:val="555555"/>
          <w:lang w:val="en-US"/>
        </w:rPr>
        <w:t xml:space="preserve"> 96th session of the </w:t>
      </w:r>
      <w:r w:rsidR="002D6B84">
        <w:rPr>
          <w:rFonts w:ascii="Arial" w:hAnsi="Arial" w:cs="Arial"/>
          <w:color w:val="555555"/>
          <w:lang w:val="en-US"/>
        </w:rPr>
        <w:t xml:space="preserve">IMO </w:t>
      </w:r>
      <w:r w:rsidR="008D3FD4" w:rsidRPr="008D3FD4">
        <w:rPr>
          <w:rFonts w:ascii="Arial" w:hAnsi="Arial" w:cs="Arial"/>
          <w:color w:val="555555"/>
          <w:lang w:val="en-US"/>
        </w:rPr>
        <w:t>Maritime Safety Committee with a proposal for the review of IMO Resolution A.857(20) as an unplanned output in the High Level Action Plan of the organization for the biennium 2018-2019</w:t>
      </w:r>
      <w:r w:rsidR="002D6B84">
        <w:rPr>
          <w:rFonts w:ascii="Arial" w:hAnsi="Arial" w:cs="Arial"/>
          <w:color w:val="555555"/>
          <w:lang w:val="en-US"/>
        </w:rPr>
        <w:t>. This submission will be developed i</w:t>
      </w:r>
      <w:r w:rsidR="002D6B84" w:rsidRPr="008D3FD4">
        <w:rPr>
          <w:rFonts w:ascii="Arial" w:hAnsi="Arial" w:cs="Arial"/>
          <w:color w:val="555555"/>
          <w:lang w:val="en-US"/>
        </w:rPr>
        <w:t xml:space="preserve">n accordance with </w:t>
      </w:r>
      <w:r w:rsidR="002D6B84" w:rsidRPr="00B11B97">
        <w:rPr>
          <w:rFonts w:ascii="Arial" w:hAnsi="Arial" w:cs="Arial"/>
          <w:color w:val="555555"/>
          <w:lang w:val="en-US"/>
        </w:rPr>
        <w:t xml:space="preserve">the Guidelines on the organization and </w:t>
      </w:r>
      <w:r w:rsidR="002D6B84" w:rsidRPr="00B11B97">
        <w:rPr>
          <w:rFonts w:ascii="Arial" w:hAnsi="Arial" w:cs="Arial"/>
          <w:color w:val="555555"/>
          <w:lang w:val="en-US"/>
        </w:rPr>
        <w:lastRenderedPageBreak/>
        <w:t>method of work of the Maritime Safety Committee and the Marine Environment Protection Committee and their subsidiary bodies (MSC-MEPC.1/Circ.4/Rev.3)</w:t>
      </w:r>
    </w:p>
    <w:p w:rsidR="008D3FD4" w:rsidRPr="008D3FD4" w:rsidRDefault="008D3FD4" w:rsidP="00D1202A">
      <w:pPr>
        <w:jc w:val="both"/>
        <w:rPr>
          <w:rFonts w:ascii="Arial" w:hAnsi="Arial" w:cs="Arial"/>
          <w:color w:val="555555"/>
          <w:lang w:val="en-US"/>
        </w:rPr>
      </w:pPr>
    </w:p>
    <w:p w:rsidR="008D3FD4" w:rsidRPr="008D3FD4" w:rsidRDefault="00B11B97" w:rsidP="00D1202A">
      <w:pPr>
        <w:jc w:val="both"/>
        <w:rPr>
          <w:rFonts w:ascii="Arial" w:hAnsi="Arial" w:cs="Arial"/>
          <w:color w:val="555555"/>
          <w:lang w:val="en-US"/>
        </w:rPr>
      </w:pPr>
      <w:r>
        <w:rPr>
          <w:rFonts w:ascii="Arial" w:hAnsi="Arial" w:cs="Arial"/>
          <w:color w:val="555555"/>
          <w:lang w:val="en-US"/>
        </w:rPr>
        <w:t>17</w:t>
      </w:r>
      <w:r>
        <w:rPr>
          <w:rFonts w:ascii="Arial" w:hAnsi="Arial" w:cs="Arial"/>
          <w:color w:val="555555"/>
          <w:lang w:val="en-US"/>
        </w:rPr>
        <w:tab/>
      </w:r>
      <w:r w:rsidR="008D3FD4" w:rsidRPr="008D3FD4">
        <w:rPr>
          <w:rFonts w:ascii="Arial" w:hAnsi="Arial" w:cs="Arial"/>
          <w:color w:val="555555"/>
          <w:lang w:val="en-US"/>
        </w:rPr>
        <w:t>IALA</w:t>
      </w:r>
      <w:r w:rsidR="00F757E8">
        <w:rPr>
          <w:rFonts w:ascii="Arial" w:hAnsi="Arial" w:cs="Arial"/>
          <w:color w:val="555555"/>
          <w:lang w:val="en-US"/>
        </w:rPr>
        <w:t>,</w:t>
      </w:r>
      <w:r w:rsidR="008D3FD4" w:rsidRPr="008D3FD4">
        <w:rPr>
          <w:rFonts w:ascii="Arial" w:hAnsi="Arial" w:cs="Arial"/>
          <w:color w:val="555555"/>
          <w:lang w:val="en-US"/>
        </w:rPr>
        <w:t xml:space="preserve"> as part of its Work Programme 2014-2018 and beyond</w:t>
      </w:r>
      <w:r w:rsidR="00F757E8">
        <w:rPr>
          <w:rFonts w:ascii="Arial" w:hAnsi="Arial" w:cs="Arial"/>
          <w:color w:val="555555"/>
          <w:lang w:val="en-US"/>
        </w:rPr>
        <w:t>,</w:t>
      </w:r>
      <w:r w:rsidR="008D3FD4" w:rsidRPr="008D3FD4">
        <w:rPr>
          <w:rFonts w:ascii="Arial" w:hAnsi="Arial" w:cs="Arial"/>
          <w:color w:val="555555"/>
          <w:lang w:val="en-US"/>
        </w:rPr>
        <w:t xml:space="preserve"> is coordinating this task in conjunction with its members and other interested parties.</w:t>
      </w:r>
    </w:p>
    <w:p w:rsidR="008D3FD4" w:rsidRPr="008D3FD4" w:rsidRDefault="008D3FD4" w:rsidP="008D3FD4">
      <w:pPr>
        <w:rPr>
          <w:rFonts w:ascii="Arial" w:hAnsi="Arial" w:cs="Arial"/>
          <w:b/>
          <w:color w:val="555555"/>
          <w:lang w:val="en-US"/>
        </w:rPr>
      </w:pPr>
      <w:r w:rsidRPr="008D3FD4">
        <w:rPr>
          <w:rFonts w:ascii="Arial" w:hAnsi="Arial" w:cs="Arial"/>
          <w:b/>
          <w:color w:val="555555"/>
          <w:lang w:val="en-US"/>
        </w:rPr>
        <w:t xml:space="preserve"> </w:t>
      </w:r>
    </w:p>
    <w:p w:rsidR="008D3FD4" w:rsidRPr="008D3FD4" w:rsidRDefault="008D3FD4" w:rsidP="008D3FD4">
      <w:pPr>
        <w:autoSpaceDE w:val="0"/>
        <w:autoSpaceDN w:val="0"/>
        <w:adjustRightInd w:val="0"/>
        <w:rPr>
          <w:rFonts w:ascii="Arial" w:hAnsi="Arial" w:cs="Arial"/>
          <w:color w:val="000000"/>
          <w:lang w:val="en-US"/>
        </w:rPr>
      </w:pPr>
      <w:r w:rsidRPr="008D3FD4">
        <w:rPr>
          <w:rFonts w:ascii="Arial" w:hAnsi="Arial" w:cs="Arial"/>
          <w:b/>
          <w:bCs/>
          <w:color w:val="000000"/>
          <w:lang w:val="en-US"/>
        </w:rPr>
        <w:t xml:space="preserve">Action requested of the Sub-Committee </w:t>
      </w:r>
    </w:p>
    <w:p w:rsidR="008D3FD4" w:rsidRPr="008D3FD4" w:rsidRDefault="002D6B84" w:rsidP="002D6B84">
      <w:pPr>
        <w:spacing w:before="240"/>
        <w:rPr>
          <w:rFonts w:ascii="Arial" w:hAnsi="Arial" w:cs="Arial"/>
          <w:color w:val="555555"/>
          <w:lang w:val="en-US"/>
        </w:rPr>
      </w:pPr>
      <w:r>
        <w:rPr>
          <w:rFonts w:ascii="Arial" w:hAnsi="Arial" w:cs="Arial"/>
          <w:color w:val="555555"/>
          <w:lang w:val="en-US"/>
        </w:rPr>
        <w:t>18</w:t>
      </w:r>
      <w:r>
        <w:rPr>
          <w:rFonts w:ascii="Arial" w:hAnsi="Arial" w:cs="Arial"/>
          <w:color w:val="555555"/>
          <w:lang w:val="en-US"/>
        </w:rPr>
        <w:tab/>
      </w:r>
      <w:r w:rsidR="008D3FD4" w:rsidRPr="008D3FD4">
        <w:rPr>
          <w:rFonts w:ascii="Arial" w:hAnsi="Arial" w:cs="Arial"/>
          <w:color w:val="555555"/>
          <w:lang w:val="en-US"/>
        </w:rPr>
        <w:t>The Sub-Committee is invited to note the information provided.</w:t>
      </w:r>
    </w:p>
    <w:p w:rsidR="008D3FD4" w:rsidRPr="008D3FD4" w:rsidRDefault="008D3FD4" w:rsidP="008D3FD4">
      <w:pPr>
        <w:rPr>
          <w:lang w:val="en-US"/>
        </w:rPr>
      </w:pPr>
    </w:p>
    <w:sectPr w:rsidR="008D3FD4" w:rsidRPr="008D3FD4" w:rsidSect="00D1202A">
      <w:headerReference w:type="default" r:id="rId7"/>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1FF" w:rsidRDefault="00F821FF" w:rsidP="008D3FD4">
      <w:r>
        <w:separator/>
      </w:r>
    </w:p>
  </w:endnote>
  <w:endnote w:type="continuationSeparator" w:id="0">
    <w:p w:rsidR="00F821FF" w:rsidRDefault="00F821FF" w:rsidP="008D3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1FF" w:rsidRDefault="00F821FF" w:rsidP="008D3FD4">
      <w:r>
        <w:separator/>
      </w:r>
    </w:p>
  </w:footnote>
  <w:footnote w:type="continuationSeparator" w:id="0">
    <w:p w:rsidR="00F821FF" w:rsidRDefault="00F821FF" w:rsidP="008D3FD4">
      <w:r>
        <w:continuationSeparator/>
      </w:r>
    </w:p>
  </w:footnote>
  <w:footnote w:id="1">
    <w:p w:rsidR="008D3FD4" w:rsidRPr="00EE16E9" w:rsidRDefault="008D3FD4" w:rsidP="008D3FD4">
      <w:pPr>
        <w:pStyle w:val="FootnoteText"/>
        <w:rPr>
          <w:lang w:val="en-US"/>
        </w:rPr>
      </w:pPr>
      <w:r>
        <w:rPr>
          <w:rStyle w:val="FootnoteReference"/>
        </w:rPr>
        <w:footnoteRef/>
      </w:r>
      <w:r w:rsidRPr="00EE16E9">
        <w:rPr>
          <w:lang w:val="en-US"/>
        </w:rPr>
        <w:t xml:space="preserve"> </w:t>
      </w:r>
      <w:r w:rsidRPr="00BA196C">
        <w:rPr>
          <w:rFonts w:ascii="Arial" w:hAnsi="Arial" w:cs="Arial"/>
          <w:color w:val="555555"/>
          <w:sz w:val="18"/>
          <w:szCs w:val="18"/>
          <w:lang w:val="en-US"/>
        </w:rPr>
        <w:t>The term ‘Marine Aid to Navigation‘ means a device, system, or service, external to a vessel, designed and operated to enhance safe and efficient navigation of all vessels and/or vessel traffic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A22" w:rsidRPr="00421A22" w:rsidRDefault="00421A22">
    <w:pPr>
      <w:pStyle w:val="Header"/>
      <w:rPr>
        <w:lang w:val="nl-NL"/>
      </w:rPr>
    </w:pPr>
    <w:r>
      <w:rPr>
        <w:lang w:val="nl-NL"/>
      </w:rPr>
      <w:tab/>
    </w:r>
    <w:r>
      <w:rPr>
        <w:lang w:val="nl-NL"/>
      </w:rPr>
      <w:tab/>
      <w:t>VTS40-12.1.2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46661"/>
    <w:multiLevelType w:val="hybridMultilevel"/>
    <w:tmpl w:val="3BA8081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051516C1"/>
    <w:multiLevelType w:val="hybridMultilevel"/>
    <w:tmpl w:val="1E146636"/>
    <w:lvl w:ilvl="0" w:tplc="E68C4652">
      <w:start w:val="1"/>
      <w:numFmt w:val="decimal"/>
      <w:lvlText w:val=".%1"/>
      <w:lvlJc w:val="left"/>
      <w:pPr>
        <w:ind w:left="720" w:hanging="360"/>
      </w:pPr>
      <w:rPr>
        <w:rFonts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16A85CCB"/>
    <w:multiLevelType w:val="hybridMultilevel"/>
    <w:tmpl w:val="42621EB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16DA5E87"/>
    <w:multiLevelType w:val="hybridMultilevel"/>
    <w:tmpl w:val="3E8E196E"/>
    <w:lvl w:ilvl="0" w:tplc="75AE22A0">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7DB6386"/>
    <w:multiLevelType w:val="hybridMultilevel"/>
    <w:tmpl w:val="CC58F8AA"/>
    <w:lvl w:ilvl="0" w:tplc="41BAE6E2">
      <w:start w:val="1"/>
      <w:numFmt w:val="decimal"/>
      <w:lvlText w:val=".%1"/>
      <w:lvlJc w:val="left"/>
      <w:pPr>
        <w:ind w:left="1440" w:hanging="360"/>
      </w:pPr>
      <w:rPr>
        <w:rFonts w:ascii="Calibri" w:hAnsi="Calibri" w:hint="default"/>
        <w:sz w:val="22"/>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E9B64F8"/>
    <w:multiLevelType w:val="hybridMultilevel"/>
    <w:tmpl w:val="AE266C7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23565277"/>
    <w:multiLevelType w:val="hybridMultilevel"/>
    <w:tmpl w:val="E294C34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B7A16A5"/>
    <w:multiLevelType w:val="hybridMultilevel"/>
    <w:tmpl w:val="DEB67DF0"/>
    <w:lvl w:ilvl="0" w:tplc="D520C018">
      <w:start w:val="1"/>
      <w:numFmt w:val="decimal"/>
      <w:lvlText w:val=".%1"/>
      <w:lvlJc w:val="left"/>
      <w:pPr>
        <w:ind w:left="720" w:hanging="360"/>
      </w:pPr>
      <w:rPr>
        <w:rFonts w:hint="default"/>
        <w:sz w:val="22"/>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7560A73"/>
    <w:multiLevelType w:val="hybridMultilevel"/>
    <w:tmpl w:val="2582385C"/>
    <w:lvl w:ilvl="0" w:tplc="852C8FCC">
      <w:start w:val="1"/>
      <w:numFmt w:val="decimal"/>
      <w:lvlText w:val="%1"/>
      <w:lvlJc w:val="left"/>
      <w:pPr>
        <w:ind w:left="1440" w:hanging="360"/>
      </w:pPr>
      <w:rPr>
        <w:rFonts w:ascii="Calibri" w:hAnsi="Calibri" w:hint="default"/>
        <w:sz w:val="22"/>
      </w:rPr>
    </w:lvl>
    <w:lvl w:ilvl="1" w:tplc="04140003">
      <w:start w:val="1"/>
      <w:numFmt w:val="decimal"/>
      <w:lvlText w:val="%2."/>
      <w:lvlJc w:val="left"/>
      <w:pPr>
        <w:tabs>
          <w:tab w:val="num" w:pos="1812"/>
        </w:tabs>
        <w:ind w:left="1812" w:hanging="360"/>
      </w:pPr>
    </w:lvl>
    <w:lvl w:ilvl="2" w:tplc="04140005">
      <w:start w:val="1"/>
      <w:numFmt w:val="decimal"/>
      <w:lvlText w:val="%3."/>
      <w:lvlJc w:val="left"/>
      <w:pPr>
        <w:tabs>
          <w:tab w:val="num" w:pos="2532"/>
        </w:tabs>
        <w:ind w:left="2532" w:hanging="360"/>
      </w:pPr>
    </w:lvl>
    <w:lvl w:ilvl="3" w:tplc="04140001">
      <w:start w:val="1"/>
      <w:numFmt w:val="decimal"/>
      <w:lvlText w:val="%4."/>
      <w:lvlJc w:val="left"/>
      <w:pPr>
        <w:tabs>
          <w:tab w:val="num" w:pos="3252"/>
        </w:tabs>
        <w:ind w:left="3252" w:hanging="360"/>
      </w:pPr>
    </w:lvl>
    <w:lvl w:ilvl="4" w:tplc="04140003">
      <w:start w:val="1"/>
      <w:numFmt w:val="decimal"/>
      <w:lvlText w:val="%5."/>
      <w:lvlJc w:val="left"/>
      <w:pPr>
        <w:tabs>
          <w:tab w:val="num" w:pos="3972"/>
        </w:tabs>
        <w:ind w:left="3972" w:hanging="360"/>
      </w:pPr>
    </w:lvl>
    <w:lvl w:ilvl="5" w:tplc="04140005">
      <w:start w:val="1"/>
      <w:numFmt w:val="decimal"/>
      <w:lvlText w:val="%6."/>
      <w:lvlJc w:val="left"/>
      <w:pPr>
        <w:tabs>
          <w:tab w:val="num" w:pos="4692"/>
        </w:tabs>
        <w:ind w:left="4692" w:hanging="360"/>
      </w:pPr>
    </w:lvl>
    <w:lvl w:ilvl="6" w:tplc="04140001">
      <w:start w:val="1"/>
      <w:numFmt w:val="decimal"/>
      <w:lvlText w:val="%7."/>
      <w:lvlJc w:val="left"/>
      <w:pPr>
        <w:tabs>
          <w:tab w:val="num" w:pos="5412"/>
        </w:tabs>
        <w:ind w:left="5412" w:hanging="360"/>
      </w:pPr>
    </w:lvl>
    <w:lvl w:ilvl="7" w:tplc="04140003">
      <w:start w:val="1"/>
      <w:numFmt w:val="decimal"/>
      <w:lvlText w:val="%8."/>
      <w:lvlJc w:val="left"/>
      <w:pPr>
        <w:tabs>
          <w:tab w:val="num" w:pos="6132"/>
        </w:tabs>
        <w:ind w:left="6132" w:hanging="360"/>
      </w:pPr>
    </w:lvl>
    <w:lvl w:ilvl="8" w:tplc="04140005">
      <w:start w:val="1"/>
      <w:numFmt w:val="decimal"/>
      <w:lvlText w:val="%9."/>
      <w:lvlJc w:val="left"/>
      <w:pPr>
        <w:tabs>
          <w:tab w:val="num" w:pos="6852"/>
        </w:tabs>
        <w:ind w:left="6852" w:hanging="360"/>
      </w:pPr>
    </w:lvl>
  </w:abstractNum>
  <w:abstractNum w:abstractNumId="9" w15:restartNumberingAfterBreak="0">
    <w:nsid w:val="3B711E30"/>
    <w:multiLevelType w:val="hybridMultilevel"/>
    <w:tmpl w:val="9C70EF1C"/>
    <w:lvl w:ilvl="0" w:tplc="75AE22A0">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5E5641F8"/>
    <w:multiLevelType w:val="hybridMultilevel"/>
    <w:tmpl w:val="1046BE60"/>
    <w:lvl w:ilvl="0" w:tplc="75AE22A0">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639B6F25"/>
    <w:multiLevelType w:val="hybridMultilevel"/>
    <w:tmpl w:val="71C88A2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7A625CD7"/>
    <w:multiLevelType w:val="hybridMultilevel"/>
    <w:tmpl w:val="C2BAD43C"/>
    <w:lvl w:ilvl="0" w:tplc="75AE22A0">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6"/>
  </w:num>
  <w:num w:numId="4">
    <w:abstractNumId w:val="0"/>
  </w:num>
  <w:num w:numId="5">
    <w:abstractNumId w:val="11"/>
  </w:num>
  <w:num w:numId="6">
    <w:abstractNumId w:val="2"/>
  </w:num>
  <w:num w:numId="7">
    <w:abstractNumId w:val="12"/>
  </w:num>
  <w:num w:numId="8">
    <w:abstractNumId w:val="4"/>
  </w:num>
  <w:num w:numId="9">
    <w:abstractNumId w:val="7"/>
  </w:num>
  <w:num w:numId="10">
    <w:abstractNumId w:val="10"/>
  </w:num>
  <w:num w:numId="11">
    <w:abstractNumId w:val="3"/>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D3FD4"/>
    <w:rsid w:val="000941DD"/>
    <w:rsid w:val="000B22DC"/>
    <w:rsid w:val="001C57E3"/>
    <w:rsid w:val="002D6B84"/>
    <w:rsid w:val="00313CCE"/>
    <w:rsid w:val="00421A22"/>
    <w:rsid w:val="005B223A"/>
    <w:rsid w:val="0062617C"/>
    <w:rsid w:val="008D3FD4"/>
    <w:rsid w:val="009B33C1"/>
    <w:rsid w:val="00B11B97"/>
    <w:rsid w:val="00B95844"/>
    <w:rsid w:val="00D1202A"/>
    <w:rsid w:val="00E1509B"/>
    <w:rsid w:val="00EB39C7"/>
    <w:rsid w:val="00F757E8"/>
    <w:rsid w:val="00F821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BBBA76-DEA8-4070-BF65-DCDDF4F5D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3FD4"/>
    <w:pPr>
      <w:spacing w:after="0" w:line="240" w:lineRule="auto"/>
    </w:pPr>
    <w:rPr>
      <w:lang w:val="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3FD4"/>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8D3FD4"/>
    <w:rPr>
      <w:sz w:val="20"/>
      <w:szCs w:val="20"/>
    </w:rPr>
  </w:style>
  <w:style w:type="character" w:customStyle="1" w:styleId="FootnoteTextChar">
    <w:name w:val="Footnote Text Char"/>
    <w:basedOn w:val="DefaultParagraphFont"/>
    <w:link w:val="FootnoteText"/>
    <w:uiPriority w:val="99"/>
    <w:semiHidden/>
    <w:rsid w:val="008D3FD4"/>
    <w:rPr>
      <w:sz w:val="20"/>
      <w:szCs w:val="20"/>
      <w:lang w:val="nb-NO"/>
    </w:rPr>
  </w:style>
  <w:style w:type="character" w:styleId="FootnoteReference">
    <w:name w:val="footnote reference"/>
    <w:basedOn w:val="DefaultParagraphFont"/>
    <w:uiPriority w:val="99"/>
    <w:semiHidden/>
    <w:unhideWhenUsed/>
    <w:rsid w:val="008D3FD4"/>
    <w:rPr>
      <w:vertAlign w:val="superscript"/>
    </w:rPr>
  </w:style>
  <w:style w:type="paragraph" w:styleId="ListParagraph">
    <w:name w:val="List Paragraph"/>
    <w:basedOn w:val="Normal"/>
    <w:uiPriority w:val="34"/>
    <w:qFormat/>
    <w:rsid w:val="008D3FD4"/>
    <w:pPr>
      <w:ind w:left="720"/>
      <w:contextualSpacing/>
    </w:pPr>
  </w:style>
  <w:style w:type="paragraph" w:styleId="Header">
    <w:name w:val="header"/>
    <w:basedOn w:val="Normal"/>
    <w:link w:val="HeaderChar"/>
    <w:uiPriority w:val="99"/>
    <w:unhideWhenUsed/>
    <w:rsid w:val="00421A22"/>
    <w:pPr>
      <w:tabs>
        <w:tab w:val="center" w:pos="4536"/>
        <w:tab w:val="right" w:pos="9072"/>
      </w:tabs>
    </w:pPr>
  </w:style>
  <w:style w:type="character" w:customStyle="1" w:styleId="HeaderChar">
    <w:name w:val="Header Char"/>
    <w:basedOn w:val="DefaultParagraphFont"/>
    <w:link w:val="Header"/>
    <w:uiPriority w:val="99"/>
    <w:rsid w:val="00421A22"/>
    <w:rPr>
      <w:lang w:val="nb-NO"/>
    </w:rPr>
  </w:style>
  <w:style w:type="paragraph" w:styleId="Footer">
    <w:name w:val="footer"/>
    <w:basedOn w:val="Normal"/>
    <w:link w:val="FooterChar"/>
    <w:uiPriority w:val="99"/>
    <w:unhideWhenUsed/>
    <w:rsid w:val="00421A22"/>
    <w:pPr>
      <w:tabs>
        <w:tab w:val="center" w:pos="4536"/>
        <w:tab w:val="right" w:pos="9072"/>
      </w:tabs>
    </w:pPr>
  </w:style>
  <w:style w:type="character" w:customStyle="1" w:styleId="FooterChar">
    <w:name w:val="Footer Char"/>
    <w:basedOn w:val="DefaultParagraphFont"/>
    <w:link w:val="Footer"/>
    <w:uiPriority w:val="99"/>
    <w:rsid w:val="00421A22"/>
    <w:rPr>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1266</Words>
  <Characters>7220</Characters>
  <Application>Microsoft Office Word</Application>
  <DocSecurity>0</DocSecurity>
  <Lines>60</Lines>
  <Paragraphs>16</Paragraphs>
  <ScaleCrop>false</ScaleCrop>
  <HeadingPairs>
    <vt:vector size="4" baseType="variant">
      <vt:variant>
        <vt:lpstr>Tittel</vt:lpstr>
      </vt:variant>
      <vt:variant>
        <vt:i4>1</vt:i4>
      </vt:variant>
      <vt:variant>
        <vt:lpstr>Titel</vt:lpstr>
      </vt:variant>
      <vt:variant>
        <vt:i4>1</vt:i4>
      </vt:variant>
    </vt:vector>
  </HeadingPairs>
  <TitlesOfParts>
    <vt:vector size="2" baseType="lpstr">
      <vt:lpstr/>
      <vt:lpstr/>
    </vt:vector>
  </TitlesOfParts>
  <Company>Kystverket</Company>
  <LinksUpToDate>false</LinksUpToDate>
  <CharactersWithSpaces>8470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dc:creator>
  <cp:lastModifiedBy>Plenary Room</cp:lastModifiedBy>
  <cp:revision>4</cp:revision>
  <dcterms:created xsi:type="dcterms:W3CDTF">2015-10-22T10:11:00Z</dcterms:created>
  <dcterms:modified xsi:type="dcterms:W3CDTF">2015-10-22T14:33:00Z</dcterms:modified>
</cp:coreProperties>
</file>